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35" w:rsidRDefault="00B81F5E" w:rsidP="00B81F5E">
      <w:pPr>
        <w:pStyle w:val="Heading1"/>
      </w:pPr>
      <w:bookmarkStart w:id="0" w:name="_GoBack"/>
      <w:bookmarkEnd w:id="0"/>
      <w:r>
        <w:t xml:space="preserve">Private Career College </w:t>
      </w:r>
      <w:r w:rsidR="008B3B45">
        <w:t>Documents</w:t>
      </w:r>
    </w:p>
    <w:p w:rsidR="00DD6480" w:rsidRDefault="00DD6480" w:rsidP="00DD6480"/>
    <w:p w:rsidR="00DD6480" w:rsidRPr="00DD6480" w:rsidRDefault="00DD6480" w:rsidP="00DD6480">
      <w:pPr>
        <w:pStyle w:val="Heading2"/>
      </w:pPr>
      <w:r>
        <w:t>Background</w:t>
      </w:r>
    </w:p>
    <w:p w:rsidR="00B81F5E" w:rsidRDefault="00B81F5E" w:rsidP="00004396">
      <w:pPr>
        <w:ind w:left="0"/>
      </w:pPr>
    </w:p>
    <w:p w:rsidR="00EA681E" w:rsidRDefault="00EA681E" w:rsidP="00DD6480">
      <w:r w:rsidRPr="00EA681E">
        <w:t xml:space="preserve">The CRPO process for recognizing education and training programs has been reviewed by the </w:t>
      </w:r>
      <w:r w:rsidR="00BE3DFB" w:rsidRPr="00BE3DFB">
        <w:t xml:space="preserve">Ministry of Training, Colleges, and Universities </w:t>
      </w:r>
      <w:r w:rsidR="00BE3DFB">
        <w:t>(</w:t>
      </w:r>
      <w:r w:rsidRPr="00EA681E">
        <w:t>MCTU</w:t>
      </w:r>
      <w:r w:rsidR="00BE3DFB">
        <w:t>)</w:t>
      </w:r>
      <w:r w:rsidRPr="00EA681E">
        <w:t xml:space="preserve"> and deemed to satisfy their requirements for private career college (PCC) registration related to assessment by subject matter and adult education expert assessments. This means that programs that are subject to the PCC registration requirements can request a letter from CRPO to submit as part of their application for registration with the MCTU.</w:t>
      </w:r>
    </w:p>
    <w:p w:rsidR="00EA681E" w:rsidRDefault="00EA681E" w:rsidP="00DD6480"/>
    <w:p w:rsidR="00DD6480" w:rsidRDefault="00DD6480" w:rsidP="00DD6480">
      <w:r w:rsidRPr="00DD6480">
        <w:t>CRPO continues to maintain an arms</w:t>
      </w:r>
      <w:r w:rsidR="00BE3DFB">
        <w:t>-length distance from both the program r</w:t>
      </w:r>
      <w:r w:rsidRPr="00DD6480">
        <w:t xml:space="preserve">ecognition process, which is facilitated by a third-party contractor, and the </w:t>
      </w:r>
      <w:r w:rsidR="000E0374">
        <w:t>P</w:t>
      </w:r>
      <w:r w:rsidR="00BE3DFB">
        <w:t>CC</w:t>
      </w:r>
      <w:r w:rsidR="000E0374">
        <w:t xml:space="preserve"> </w:t>
      </w:r>
      <w:r w:rsidR="00EA681E">
        <w:t xml:space="preserve">application </w:t>
      </w:r>
      <w:r w:rsidRPr="00DD6480">
        <w:t>process. In the interest of efficiency and</w:t>
      </w:r>
      <w:r w:rsidR="000E0374">
        <w:t xml:space="preserve"> in order</w:t>
      </w:r>
      <w:r w:rsidRPr="00DD6480">
        <w:t xml:space="preserve"> to support programs in achieving designation as Private Career Colleges, CRPO will receive documents </w:t>
      </w:r>
      <w:r>
        <w:t>related to the</w:t>
      </w:r>
      <w:r w:rsidR="00EA681E">
        <w:t xml:space="preserve"> Subject Matter Expert and</w:t>
      </w:r>
      <w:r>
        <w:t xml:space="preserve"> Adult Education </w:t>
      </w:r>
      <w:r w:rsidR="001063A2">
        <w:t>evaluation</w:t>
      </w:r>
      <w:r>
        <w:t xml:space="preserve"> process</w:t>
      </w:r>
      <w:r w:rsidRPr="00DD6480">
        <w:t xml:space="preserve"> for the purpose of applying for P</w:t>
      </w:r>
      <w:r w:rsidR="00BE3DFB">
        <w:t>CC designation through the MTCU</w:t>
      </w:r>
      <w:r w:rsidR="00F375B8">
        <w:t>.</w:t>
      </w:r>
      <w:r w:rsidR="00BE3DFB">
        <w:t xml:space="preserve"> This </w:t>
      </w:r>
      <w:r w:rsidR="00C174E0">
        <w:t>process was approved by the Registration Committee on October 11, 2018.</w:t>
      </w:r>
    </w:p>
    <w:p w:rsidR="00EA681E" w:rsidRPr="00EA681E" w:rsidRDefault="00EA681E" w:rsidP="00EA681E">
      <w:pPr>
        <w:ind w:left="0"/>
      </w:pPr>
    </w:p>
    <w:p w:rsidR="000E0374" w:rsidRDefault="00EA681E" w:rsidP="00EA681E">
      <w:r w:rsidRPr="00EA681E">
        <w:t xml:space="preserve">Applicants who are required by </w:t>
      </w:r>
      <w:r w:rsidR="00BE3DFB">
        <w:t xml:space="preserve">the </w:t>
      </w:r>
      <w:r w:rsidRPr="00EA681E">
        <w:t>MCTU to register as a private career college will need to provide a number of documents in addition to the materials required b</w:t>
      </w:r>
      <w:r>
        <w:t xml:space="preserve">y CRPO for program recognition. </w:t>
      </w:r>
      <w:r w:rsidR="00F375B8">
        <w:t>P</w:t>
      </w:r>
      <w:r w:rsidR="000E0374">
        <w:t>rograms may</w:t>
      </w:r>
      <w:r w:rsidR="00DD6480">
        <w:t xml:space="preserve"> submit </w:t>
      </w:r>
      <w:r w:rsidR="000E0374">
        <w:t>required documentation as outlined below</w:t>
      </w:r>
      <w:r w:rsidR="00DD6480">
        <w:t>.</w:t>
      </w:r>
      <w:r w:rsidR="00B81F5E">
        <w:t xml:space="preserve"> </w:t>
      </w:r>
      <w:r w:rsidR="000E0374" w:rsidRPr="000E0374">
        <w:t xml:space="preserve">Staff will review </w:t>
      </w:r>
      <w:r w:rsidR="000E0374">
        <w:t>submissions</w:t>
      </w:r>
      <w:r w:rsidR="000E0374" w:rsidRPr="000E0374">
        <w:t xml:space="preserve"> for completeness only.</w:t>
      </w:r>
    </w:p>
    <w:p w:rsidR="000E0374" w:rsidRDefault="000E0374" w:rsidP="000E0374"/>
    <w:p w:rsidR="000E0374" w:rsidRPr="000E0374" w:rsidRDefault="000E0374" w:rsidP="000E0374">
      <w:r>
        <w:t xml:space="preserve">For additional information about </w:t>
      </w:r>
      <w:r w:rsidR="00E6285F">
        <w:t>registering as a PCC</w:t>
      </w:r>
      <w:r>
        <w:t>, please visit the M</w:t>
      </w:r>
      <w:r w:rsidR="00F375B8">
        <w:t xml:space="preserve">TCU </w:t>
      </w:r>
      <w:hyperlink r:id="rId8" w:history="1">
        <w:r w:rsidRPr="000E0374">
          <w:rPr>
            <w:rStyle w:val="Hyperlink"/>
          </w:rPr>
          <w:t>website</w:t>
        </w:r>
      </w:hyperlink>
      <w:r w:rsidR="00EA681E">
        <w:t>.</w:t>
      </w:r>
    </w:p>
    <w:p w:rsidR="00B81F5E" w:rsidRDefault="00B81F5E" w:rsidP="000E0374">
      <w:pPr>
        <w:ind w:left="0"/>
      </w:pPr>
    </w:p>
    <w:p w:rsidR="00004396" w:rsidRPr="00004396" w:rsidRDefault="00004396" w:rsidP="000E0374">
      <w:pPr>
        <w:pStyle w:val="Heading2"/>
      </w:pPr>
      <w:r w:rsidRPr="00004396">
        <w:t>Instructions</w:t>
      </w:r>
    </w:p>
    <w:p w:rsidR="00004396" w:rsidRDefault="00004396" w:rsidP="00004396">
      <w:pPr>
        <w:ind w:left="0"/>
      </w:pPr>
    </w:p>
    <w:p w:rsidR="00B81F5E" w:rsidRDefault="00B81F5E" w:rsidP="00B81F5E">
      <w:r>
        <w:t xml:space="preserve">Please compile the attachments in a single PDF document in the order listed below. </w:t>
      </w:r>
    </w:p>
    <w:p w:rsidR="00B81F5E" w:rsidRDefault="00B81F5E" w:rsidP="00B81F5E"/>
    <w:p w:rsidR="00B81F5E" w:rsidRDefault="00B81F5E" w:rsidP="00F0431E">
      <w:r>
        <w:t>Please label each document as “Attachment 1”, etc. If there are multiple documents submitted for an attachment, please label them as “Attachment 1.1”, etc.</w:t>
      </w:r>
    </w:p>
    <w:p w:rsidR="001063A2" w:rsidRDefault="001063A2" w:rsidP="00F0431E"/>
    <w:p w:rsidR="001063A2" w:rsidRDefault="001063A2" w:rsidP="00F0431E">
      <w:r>
        <w:t>Certain attachments are marked “If applicable”</w:t>
      </w:r>
      <w:r w:rsidR="00F375B8">
        <w:t xml:space="preserve"> or “Optional”</w:t>
      </w:r>
      <w:r>
        <w:t>. If the attachment does not apply to your program, please include a page that states that the attachment is not applicable, so that we will know the attachment was intentionally omitted.</w:t>
      </w:r>
    </w:p>
    <w:p w:rsidR="00DF161E" w:rsidRDefault="00DF161E" w:rsidP="00F0431E"/>
    <w:p w:rsidR="00DF161E" w:rsidRDefault="00DF161E" w:rsidP="00F0431E">
      <w:r>
        <w:t>If an attachment is part of a larger file (e.g. a Student Manual), please only include the relevant excerpt.</w:t>
      </w:r>
    </w:p>
    <w:p w:rsidR="000E0374" w:rsidRDefault="000E0374" w:rsidP="00F0431E"/>
    <w:p w:rsidR="000E0374" w:rsidRDefault="000E0374" w:rsidP="00F0431E">
      <w:r w:rsidRPr="00EA681E">
        <w:t>Please refer to the rubric</w:t>
      </w:r>
      <w:r w:rsidR="00391577" w:rsidRPr="00EA681E">
        <w:t>s</w:t>
      </w:r>
      <w:r w:rsidRPr="00EA681E">
        <w:t xml:space="preserve"> provided on page </w:t>
      </w:r>
      <w:r w:rsidR="00C60DED" w:rsidRPr="00EA681E">
        <w:t>3</w:t>
      </w:r>
      <w:r w:rsidR="00EA681E">
        <w:t xml:space="preserve"> through 6</w:t>
      </w:r>
      <w:r w:rsidRPr="00EA681E">
        <w:t xml:space="preserve"> for information on how</w:t>
      </w:r>
      <w:r w:rsidR="001063A2" w:rsidRPr="00EA681E">
        <w:t xml:space="preserve"> the</w:t>
      </w:r>
      <w:r w:rsidRPr="00EA681E">
        <w:t xml:space="preserve"> policies </w:t>
      </w:r>
      <w:r w:rsidR="001063A2" w:rsidRPr="00EA681E">
        <w:t>discussed in Attachments 14 through 17 are evaluated.</w:t>
      </w:r>
    </w:p>
    <w:p w:rsidR="00B81F5E" w:rsidRDefault="00B81F5E" w:rsidP="000E0374">
      <w:pPr>
        <w:ind w:left="0"/>
      </w:pPr>
    </w:p>
    <w:p w:rsidR="00391577" w:rsidRDefault="00391577">
      <w:pPr>
        <w:ind w:left="0"/>
        <w:rPr>
          <w:rFonts w:eastAsiaTheme="majorEastAsia" w:cstheme="majorBidi"/>
          <w:b/>
          <w:bCs/>
          <w:color w:val="00548B"/>
          <w:sz w:val="24"/>
          <w:szCs w:val="26"/>
        </w:rPr>
      </w:pPr>
      <w:r>
        <w:br w:type="page"/>
      </w:r>
    </w:p>
    <w:p w:rsidR="00B81F5E" w:rsidRDefault="00B81F5E" w:rsidP="00B81F5E">
      <w:pPr>
        <w:pStyle w:val="Heading2"/>
      </w:pPr>
      <w:r>
        <w:lastRenderedPageBreak/>
        <w:t>Required Documents</w:t>
      </w:r>
    </w:p>
    <w:p w:rsidR="00B81F5E" w:rsidRPr="00B81F5E" w:rsidRDefault="00B81F5E" w:rsidP="00B81F5E"/>
    <w:p w:rsidR="00B81F5E" w:rsidRDefault="00B81F5E" w:rsidP="00B81F5E">
      <w:r>
        <w:t>Attachment 1: Program fees breakdown</w:t>
      </w:r>
    </w:p>
    <w:p w:rsidR="00B81F5E" w:rsidRDefault="00B81F5E" w:rsidP="00B81F5E"/>
    <w:p w:rsidR="00B81F5E" w:rsidRDefault="00B81F5E" w:rsidP="00B81F5E">
      <w:r>
        <w:t>If applicable, Attachment 2: Additional fees</w:t>
      </w:r>
    </w:p>
    <w:p w:rsidR="00B81F5E" w:rsidRDefault="00B81F5E" w:rsidP="00B81F5E"/>
    <w:p w:rsidR="00B81F5E" w:rsidRDefault="00B81F5E" w:rsidP="00B81F5E">
      <w:r>
        <w:t>Attachment 3: A sample of the credential</w:t>
      </w:r>
    </w:p>
    <w:p w:rsidR="00B81F5E" w:rsidRDefault="00B81F5E" w:rsidP="00B81F5E"/>
    <w:p w:rsidR="00B81F5E" w:rsidRDefault="00B81F5E" w:rsidP="00B81F5E">
      <w:r>
        <w:t>Attachment 4: Analysis of the labour market need</w:t>
      </w:r>
    </w:p>
    <w:p w:rsidR="00B81F5E" w:rsidRDefault="00B81F5E" w:rsidP="001063A2">
      <w:pPr>
        <w:ind w:left="0"/>
      </w:pPr>
    </w:p>
    <w:p w:rsidR="00B81F5E" w:rsidRDefault="00B81F5E" w:rsidP="00B81F5E">
      <w:r>
        <w:t>Attachment 5: Job ads</w:t>
      </w:r>
    </w:p>
    <w:p w:rsidR="00B81F5E" w:rsidRDefault="00B81F5E" w:rsidP="00B81F5E"/>
    <w:p w:rsidR="00B81F5E" w:rsidRDefault="00B81F5E" w:rsidP="00B81F5E">
      <w:r>
        <w:t>If below those required, Attachment 6: Specific admission requirements</w:t>
      </w:r>
    </w:p>
    <w:p w:rsidR="00B81F5E" w:rsidRDefault="00B81F5E" w:rsidP="00B81F5E"/>
    <w:p w:rsidR="00B81F5E" w:rsidRDefault="00B81F5E" w:rsidP="00B81F5E">
      <w:r w:rsidRPr="008111DA">
        <w:t>Attachment 7: Liability insurance for the campus</w:t>
      </w:r>
    </w:p>
    <w:p w:rsidR="00B81F5E" w:rsidRDefault="00B81F5E" w:rsidP="00B81F5E"/>
    <w:p w:rsidR="00B81F5E" w:rsidRDefault="00B81F5E" w:rsidP="00B81F5E">
      <w:r>
        <w:t>If applicable, Placement: Attachment 8: A copy of the agreement between the placement host and the college with the verification of placement sites from employers to a number equal to 50% of the figure listed on the Maximum single class size, on employer/host letterhead</w:t>
      </w:r>
    </w:p>
    <w:p w:rsidR="008A1A1C" w:rsidRPr="008A1A1C" w:rsidRDefault="008A1A1C" w:rsidP="008A1A1C">
      <w:pPr>
        <w:rPr>
          <w:i/>
        </w:rPr>
      </w:pPr>
      <w:r w:rsidRPr="008A1A1C">
        <w:rPr>
          <w:i/>
        </w:rPr>
        <w:t>As this document is likely to change depending on practicum site, it is optional to provide as part of the application package.</w:t>
      </w:r>
    </w:p>
    <w:p w:rsidR="00B81F5E" w:rsidRDefault="00B81F5E" w:rsidP="00B81F5E"/>
    <w:p w:rsidR="008111DA" w:rsidRPr="00F375B8" w:rsidRDefault="00B81F5E" w:rsidP="008111DA">
      <w:r w:rsidRPr="00F375B8">
        <w:t>Attachment 9: The information/instruction/orientation package that will be given to the placement host</w:t>
      </w:r>
    </w:p>
    <w:p w:rsidR="008111DA" w:rsidRPr="00F375B8" w:rsidRDefault="008111DA" w:rsidP="008111DA">
      <w:pPr>
        <w:rPr>
          <w:i/>
        </w:rPr>
      </w:pPr>
      <w:r w:rsidRPr="00F375B8">
        <w:rPr>
          <w:i/>
        </w:rPr>
        <w:t>As this document is likely to change depending on practicum site, it is optional to provide as part of the application package.</w:t>
      </w:r>
    </w:p>
    <w:p w:rsidR="00B81F5E" w:rsidRPr="00C60DED" w:rsidRDefault="00B81F5E" w:rsidP="00B81F5E">
      <w:pPr>
        <w:rPr>
          <w:highlight w:val="yellow"/>
        </w:rPr>
      </w:pPr>
    </w:p>
    <w:p w:rsidR="00B81F5E" w:rsidRPr="00F375B8" w:rsidRDefault="00B81F5E" w:rsidP="00B81F5E">
      <w:r w:rsidRPr="00F375B8">
        <w:t>Attachment 10: Progress/attendance sheets to be completed by the host</w:t>
      </w:r>
    </w:p>
    <w:p w:rsidR="008111DA" w:rsidRPr="00F375B8" w:rsidRDefault="008111DA" w:rsidP="008111DA">
      <w:pPr>
        <w:rPr>
          <w:i/>
        </w:rPr>
      </w:pPr>
      <w:r w:rsidRPr="00F375B8">
        <w:rPr>
          <w:i/>
        </w:rPr>
        <w:t>As this document is likely to change depending on practicum site, it is optional to provide as part of the application package.</w:t>
      </w:r>
    </w:p>
    <w:p w:rsidR="00B81F5E" w:rsidRDefault="00B81F5E" w:rsidP="00B81F5E"/>
    <w:p w:rsidR="00B81F5E" w:rsidRDefault="00B81F5E" w:rsidP="00B81F5E">
      <w:r>
        <w:t>Attachment 11: Skills passport</w:t>
      </w:r>
    </w:p>
    <w:p w:rsidR="00B81F5E" w:rsidRDefault="00B81F5E" w:rsidP="00B81F5E"/>
    <w:p w:rsidR="00B81F5E" w:rsidRPr="00F375B8" w:rsidRDefault="00B81F5E" w:rsidP="00B81F5E">
      <w:r w:rsidRPr="00F375B8">
        <w:t>Attachment 12: Liability insurance for the placement site</w:t>
      </w:r>
    </w:p>
    <w:p w:rsidR="008111DA" w:rsidRPr="00F375B8" w:rsidRDefault="008111DA" w:rsidP="008111DA">
      <w:pPr>
        <w:rPr>
          <w:i/>
        </w:rPr>
      </w:pPr>
      <w:r w:rsidRPr="00F375B8">
        <w:rPr>
          <w:i/>
        </w:rPr>
        <w:t>As this document is likely to change depending on practicum site, it is optional to provide as part of the application package.</w:t>
      </w:r>
    </w:p>
    <w:p w:rsidR="001063A2" w:rsidRDefault="001063A2" w:rsidP="001063A2"/>
    <w:p w:rsidR="001063A2" w:rsidRPr="001063A2" w:rsidRDefault="001063A2" w:rsidP="001063A2">
      <w:r w:rsidRPr="001063A2">
        <w:t>Attachment 1</w:t>
      </w:r>
      <w:r>
        <w:t>3</w:t>
      </w:r>
      <w:r w:rsidRPr="001063A2">
        <w:t>: Scholarship/bursary policy</w:t>
      </w:r>
    </w:p>
    <w:p w:rsidR="00DD6480" w:rsidRDefault="00DD6480" w:rsidP="001063A2">
      <w:pPr>
        <w:ind w:left="0"/>
      </w:pPr>
    </w:p>
    <w:p w:rsidR="00DD6480" w:rsidRDefault="00DD6480" w:rsidP="00B81F5E">
      <w:r>
        <w:t>Attachment 1</w:t>
      </w:r>
      <w:r w:rsidR="001063A2">
        <w:t>4</w:t>
      </w:r>
      <w:r>
        <w:t>: Advanced standing policy</w:t>
      </w:r>
    </w:p>
    <w:p w:rsidR="00DD6480" w:rsidRDefault="00DD6480" w:rsidP="001063A2">
      <w:pPr>
        <w:ind w:left="0"/>
      </w:pPr>
    </w:p>
    <w:p w:rsidR="00DD6480" w:rsidRDefault="00DD6480" w:rsidP="00B81F5E">
      <w:r>
        <w:t xml:space="preserve">Attachment 15: </w:t>
      </w:r>
      <w:r w:rsidR="001063A2">
        <w:t>Policy on students’ a</w:t>
      </w:r>
      <w:r>
        <w:t>ccess to qualified instructors outside the classroom</w:t>
      </w:r>
    </w:p>
    <w:p w:rsidR="00DD6480" w:rsidRDefault="00DD6480" w:rsidP="00B81F5E"/>
    <w:p w:rsidR="00DD6480" w:rsidRDefault="00DD6480" w:rsidP="00B81F5E">
      <w:r>
        <w:t>Attachment 16: Grading policy (</w:t>
      </w:r>
      <w:r w:rsidRPr="00DD6480">
        <w:t>including requirements for re-examination</w:t>
      </w:r>
      <w:r>
        <w:t>s and repeating failed subjects)</w:t>
      </w:r>
    </w:p>
    <w:p w:rsidR="00DD6480" w:rsidRDefault="00DD6480" w:rsidP="00B81F5E"/>
    <w:p w:rsidR="00DD6480" w:rsidRDefault="00DD6480" w:rsidP="00B81F5E">
      <w:r>
        <w:t>Attachment 17: Policy on measures to mediate a student’s failure to complete a placement satisfactorily</w:t>
      </w:r>
    </w:p>
    <w:p w:rsidR="00EA681E" w:rsidRDefault="00EA681E">
      <w:pPr>
        <w:ind w:left="0"/>
      </w:pPr>
      <w:r>
        <w:br w:type="page"/>
      </w:r>
    </w:p>
    <w:p w:rsidR="00EA681E" w:rsidRPr="0063646E" w:rsidRDefault="00EA681E" w:rsidP="00EA681E">
      <w:pPr>
        <w:pStyle w:val="Heading2"/>
      </w:pPr>
      <w:r w:rsidRPr="0063646E">
        <w:lastRenderedPageBreak/>
        <w:t>Policy on Advanced Standing</w:t>
      </w:r>
    </w:p>
    <w:p w:rsidR="00EA681E" w:rsidRDefault="00EA681E" w:rsidP="00EA681E">
      <w:bookmarkStart w:id="1" w:name="_Hlk518817870"/>
      <w:r>
        <w:t>A policy of</w:t>
      </w:r>
      <w:r w:rsidRPr="00061E16">
        <w:t xml:space="preserve"> granting</w:t>
      </w:r>
      <w:r w:rsidRPr="00061E16">
        <w:rPr>
          <w:b/>
          <w:bCs/>
        </w:rPr>
        <w:t xml:space="preserve"> </w:t>
      </w:r>
      <w:r w:rsidRPr="0063646E">
        <w:rPr>
          <w:bCs/>
        </w:rPr>
        <w:t>advanced standing</w:t>
      </w:r>
      <w:r w:rsidRPr="00061E16">
        <w:t> </w:t>
      </w:r>
      <w:r>
        <w:t xml:space="preserve">to adult learners </w:t>
      </w:r>
      <w:r w:rsidRPr="00061E16">
        <w:t xml:space="preserve">for </w:t>
      </w:r>
      <w:r>
        <w:t xml:space="preserve">their </w:t>
      </w:r>
      <w:r w:rsidRPr="00061E16">
        <w:t>previous learning</w:t>
      </w:r>
      <w:r>
        <w:t>, whether through formal or informal educational means,</w:t>
      </w:r>
      <w:r w:rsidRPr="00061E16">
        <w:t xml:space="preserve"> </w:t>
      </w:r>
      <w:r>
        <w:t>offers</w:t>
      </w:r>
      <w:r w:rsidRPr="00061E16">
        <w:t xml:space="preserve"> students </w:t>
      </w:r>
      <w:r>
        <w:t>the opportunity to begin a program of</w:t>
      </w:r>
      <w:r w:rsidRPr="00061E16">
        <w:t xml:space="preserve"> study at a level that appropriately recogni</w:t>
      </w:r>
      <w:r>
        <w:t>z</w:t>
      </w:r>
      <w:r w:rsidRPr="00061E16">
        <w:t xml:space="preserve">es </w:t>
      </w:r>
      <w:r>
        <w:t>their prior</w:t>
      </w:r>
      <w:r w:rsidRPr="00061E16">
        <w:t xml:space="preserve"> learning and ensures that </w:t>
      </w:r>
      <w:r>
        <w:t>they do not unnecessarily</w:t>
      </w:r>
      <w:r w:rsidRPr="00061E16">
        <w:t xml:space="preserve"> repeat successful learning activities in a</w:t>
      </w:r>
      <w:r>
        <w:t xml:space="preserve"> program of study</w:t>
      </w:r>
      <w:r w:rsidRPr="00061E16">
        <w:t>.</w:t>
      </w:r>
      <w:r>
        <w:t xml:space="preserve"> </w:t>
      </w:r>
    </w:p>
    <w:bookmarkEnd w:id="1"/>
    <w:p w:rsidR="00EA681E" w:rsidRDefault="00EA681E" w:rsidP="00EA681E"/>
    <w:p w:rsidR="00EA681E" w:rsidRDefault="00EA681E" w:rsidP="00EA681E">
      <w:r>
        <w:t xml:space="preserve">MTCU 14 Advanced Standing </w:t>
      </w:r>
      <w:proofErr w:type="gramStart"/>
      <w:r>
        <w:t>Policy</w:t>
      </w:r>
      <w:proofErr w:type="gramEnd"/>
      <w:r>
        <w:t>:</w:t>
      </w:r>
    </w:p>
    <w:p w:rsidR="00EA681E" w:rsidRDefault="00EA681E" w:rsidP="00EA681E">
      <w:pPr>
        <w:pStyle w:val="ListParagraph"/>
        <w:widowControl/>
        <w:numPr>
          <w:ilvl w:val="0"/>
          <w:numId w:val="12"/>
        </w:numPr>
        <w:autoSpaceDE/>
        <w:autoSpaceDN/>
        <w:spacing w:after="160" w:line="259" w:lineRule="auto"/>
        <w:contextualSpacing/>
      </w:pPr>
      <w:r>
        <w:t>Specific Advanced Standing Policy</w:t>
      </w:r>
    </w:p>
    <w:p w:rsidR="00EA681E" w:rsidRDefault="00EA681E" w:rsidP="00EA681E">
      <w:pPr>
        <w:pStyle w:val="ListParagraph"/>
        <w:widowControl/>
        <w:numPr>
          <w:ilvl w:val="0"/>
          <w:numId w:val="12"/>
        </w:numPr>
        <w:autoSpaceDE/>
        <w:autoSpaceDN/>
        <w:spacing w:after="160" w:line="259" w:lineRule="auto"/>
        <w:contextualSpacing/>
      </w:pPr>
      <w:r>
        <w:t xml:space="preserve">No specific Advanced Standing Policy </w:t>
      </w:r>
    </w:p>
    <w:tbl>
      <w:tblPr>
        <w:tblStyle w:val="TableGrid"/>
        <w:tblW w:w="0" w:type="auto"/>
        <w:tblInd w:w="198" w:type="dxa"/>
        <w:tblLayout w:type="fixed"/>
        <w:tblLook w:val="04A0" w:firstRow="1" w:lastRow="0" w:firstColumn="1" w:lastColumn="0" w:noHBand="0" w:noVBand="1"/>
      </w:tblPr>
      <w:tblGrid>
        <w:gridCol w:w="1841"/>
        <w:gridCol w:w="1842"/>
        <w:gridCol w:w="1842"/>
        <w:gridCol w:w="1842"/>
        <w:gridCol w:w="1842"/>
      </w:tblGrid>
      <w:tr w:rsidR="00EA681E" w:rsidTr="00EA681E">
        <w:tc>
          <w:tcPr>
            <w:tcW w:w="1841" w:type="dxa"/>
          </w:tcPr>
          <w:p w:rsidR="00EA681E" w:rsidRDefault="00EA681E" w:rsidP="00467715">
            <w:pPr>
              <w:jc w:val="center"/>
            </w:pPr>
            <w:r>
              <w:t>DOMAIN</w:t>
            </w:r>
          </w:p>
        </w:tc>
        <w:tc>
          <w:tcPr>
            <w:tcW w:w="1842" w:type="dxa"/>
          </w:tcPr>
          <w:p w:rsidR="00EA681E" w:rsidRDefault="00EA681E" w:rsidP="00467715">
            <w:pPr>
              <w:jc w:val="center"/>
            </w:pPr>
            <w:r>
              <w:t>3</w:t>
            </w:r>
          </w:p>
        </w:tc>
        <w:tc>
          <w:tcPr>
            <w:tcW w:w="1842" w:type="dxa"/>
          </w:tcPr>
          <w:p w:rsidR="00EA681E" w:rsidRDefault="00EA681E" w:rsidP="00467715">
            <w:pPr>
              <w:jc w:val="center"/>
            </w:pPr>
            <w:r>
              <w:t>2</w:t>
            </w:r>
          </w:p>
        </w:tc>
        <w:tc>
          <w:tcPr>
            <w:tcW w:w="1842" w:type="dxa"/>
          </w:tcPr>
          <w:p w:rsidR="00EA681E" w:rsidRDefault="00EA681E" w:rsidP="00467715">
            <w:pPr>
              <w:jc w:val="center"/>
            </w:pPr>
            <w:r>
              <w:t>1</w:t>
            </w:r>
          </w:p>
        </w:tc>
        <w:tc>
          <w:tcPr>
            <w:tcW w:w="1842" w:type="dxa"/>
          </w:tcPr>
          <w:p w:rsidR="00EA681E" w:rsidRDefault="00EA681E" w:rsidP="00467715">
            <w:pPr>
              <w:jc w:val="center"/>
            </w:pPr>
            <w:r>
              <w:t>0</w:t>
            </w:r>
          </w:p>
        </w:tc>
      </w:tr>
      <w:tr w:rsidR="00EA681E" w:rsidTr="00EA681E">
        <w:tc>
          <w:tcPr>
            <w:tcW w:w="1841" w:type="dxa"/>
          </w:tcPr>
          <w:p w:rsidR="00EA681E" w:rsidRDefault="00EA681E" w:rsidP="00467715">
            <w:r>
              <w:t>Previous relevant education</w:t>
            </w:r>
          </w:p>
        </w:tc>
        <w:tc>
          <w:tcPr>
            <w:tcW w:w="1842" w:type="dxa"/>
          </w:tcPr>
          <w:p w:rsidR="00EA681E" w:rsidRDefault="00EA681E" w:rsidP="00467715">
            <w:r>
              <w:t>Full accounting of relevant education</w:t>
            </w:r>
          </w:p>
        </w:tc>
        <w:tc>
          <w:tcPr>
            <w:tcW w:w="1842" w:type="dxa"/>
          </w:tcPr>
          <w:p w:rsidR="00EA681E" w:rsidRDefault="00EA681E" w:rsidP="00467715">
            <w:r>
              <w:t>Degree progression</w:t>
            </w:r>
          </w:p>
          <w:p w:rsidR="00EA681E" w:rsidRDefault="00EA681E" w:rsidP="00467715">
            <w:r>
              <w:t>accounted for</w:t>
            </w:r>
          </w:p>
        </w:tc>
        <w:tc>
          <w:tcPr>
            <w:tcW w:w="1842" w:type="dxa"/>
          </w:tcPr>
          <w:p w:rsidR="00EA681E" w:rsidRDefault="00EA681E" w:rsidP="00467715">
            <w:r>
              <w:t>Only degree</w:t>
            </w:r>
          </w:p>
          <w:p w:rsidR="00EA681E" w:rsidRDefault="00EA681E" w:rsidP="00467715">
            <w:r>
              <w:t>prerequisites are waived</w:t>
            </w:r>
          </w:p>
        </w:tc>
        <w:tc>
          <w:tcPr>
            <w:tcW w:w="1842" w:type="dxa"/>
          </w:tcPr>
          <w:p w:rsidR="00EA681E" w:rsidRDefault="00EA681E" w:rsidP="00467715">
            <w:r>
              <w:t>Not observed in policy</w:t>
            </w:r>
          </w:p>
        </w:tc>
      </w:tr>
      <w:tr w:rsidR="00EA681E" w:rsidTr="00EA681E">
        <w:tc>
          <w:tcPr>
            <w:tcW w:w="1841" w:type="dxa"/>
          </w:tcPr>
          <w:p w:rsidR="00EA681E" w:rsidRDefault="00EA681E" w:rsidP="00467715">
            <w:r>
              <w:t>Experiential learning related to program of study</w:t>
            </w:r>
          </w:p>
        </w:tc>
        <w:tc>
          <w:tcPr>
            <w:tcW w:w="1842" w:type="dxa"/>
          </w:tcPr>
          <w:p w:rsidR="00EA681E" w:rsidRDefault="00EA681E" w:rsidP="00467715">
            <w:r>
              <w:t>More than 51% course credit within program</w:t>
            </w:r>
          </w:p>
        </w:tc>
        <w:tc>
          <w:tcPr>
            <w:tcW w:w="1842" w:type="dxa"/>
          </w:tcPr>
          <w:p w:rsidR="00EA681E" w:rsidRDefault="00EA681E" w:rsidP="00467715">
            <w:r>
              <w:t>Less than 50% course credit within program</w:t>
            </w:r>
          </w:p>
        </w:tc>
        <w:tc>
          <w:tcPr>
            <w:tcW w:w="1842" w:type="dxa"/>
          </w:tcPr>
          <w:p w:rsidR="00EA681E" w:rsidRDefault="00EA681E" w:rsidP="00467715">
            <w:r>
              <w:t>Allowed for entry to program; no course credit within program</w:t>
            </w:r>
          </w:p>
        </w:tc>
        <w:tc>
          <w:tcPr>
            <w:tcW w:w="1842" w:type="dxa"/>
          </w:tcPr>
          <w:p w:rsidR="00EA681E" w:rsidRDefault="00EA681E" w:rsidP="00467715">
            <w:r w:rsidRPr="0037519A">
              <w:t>Not observed in policy</w:t>
            </w:r>
          </w:p>
        </w:tc>
      </w:tr>
      <w:tr w:rsidR="00EA681E" w:rsidTr="00EA681E">
        <w:tc>
          <w:tcPr>
            <w:tcW w:w="1841" w:type="dxa"/>
          </w:tcPr>
          <w:p w:rsidR="00EA681E" w:rsidRDefault="00EA681E" w:rsidP="00467715">
            <w:r>
              <w:t>Transfer of credit</w:t>
            </w:r>
          </w:p>
        </w:tc>
        <w:tc>
          <w:tcPr>
            <w:tcW w:w="1842" w:type="dxa"/>
          </w:tcPr>
          <w:p w:rsidR="00EA681E" w:rsidRDefault="00EA681E" w:rsidP="00467715">
            <w:r>
              <w:t>Transfer of credits between institutions with no limit</w:t>
            </w:r>
          </w:p>
        </w:tc>
        <w:tc>
          <w:tcPr>
            <w:tcW w:w="1842" w:type="dxa"/>
          </w:tcPr>
          <w:p w:rsidR="00EA681E" w:rsidRDefault="00EA681E" w:rsidP="00467715">
            <w:r>
              <w:t>Transfer of credits between programs in the same institution</w:t>
            </w:r>
          </w:p>
          <w:p w:rsidR="00EA681E" w:rsidRDefault="00EA681E" w:rsidP="00467715">
            <w:r>
              <w:t>only</w:t>
            </w:r>
          </w:p>
        </w:tc>
        <w:tc>
          <w:tcPr>
            <w:tcW w:w="1842" w:type="dxa"/>
          </w:tcPr>
          <w:p w:rsidR="00EA681E" w:rsidRDefault="00EA681E" w:rsidP="00467715">
            <w:r>
              <w:t>Only degree</w:t>
            </w:r>
          </w:p>
          <w:p w:rsidR="00EA681E" w:rsidRDefault="00EA681E" w:rsidP="00467715">
            <w:r>
              <w:t>prerequisites are transferrable</w:t>
            </w:r>
          </w:p>
        </w:tc>
        <w:tc>
          <w:tcPr>
            <w:tcW w:w="1842" w:type="dxa"/>
          </w:tcPr>
          <w:p w:rsidR="00EA681E" w:rsidRDefault="00EA681E" w:rsidP="00467715">
            <w:r w:rsidRPr="0037519A">
              <w:t>Not observed in policy</w:t>
            </w:r>
          </w:p>
        </w:tc>
      </w:tr>
      <w:tr w:rsidR="00EA681E" w:rsidTr="00EA681E">
        <w:tc>
          <w:tcPr>
            <w:tcW w:w="1841" w:type="dxa"/>
          </w:tcPr>
          <w:p w:rsidR="00EA681E" w:rsidRDefault="00EA681E" w:rsidP="00467715">
            <w:r>
              <w:t>Request procedure</w:t>
            </w:r>
          </w:p>
        </w:tc>
        <w:tc>
          <w:tcPr>
            <w:tcW w:w="1842" w:type="dxa"/>
          </w:tcPr>
          <w:p w:rsidR="00EA681E" w:rsidRDefault="00EA681E" w:rsidP="00467715">
            <w:r>
              <w:t>Procedure user friendly</w:t>
            </w:r>
          </w:p>
        </w:tc>
        <w:tc>
          <w:tcPr>
            <w:tcW w:w="1842" w:type="dxa"/>
          </w:tcPr>
          <w:p w:rsidR="00EA681E" w:rsidRDefault="00EA681E" w:rsidP="00467715">
            <w:r>
              <w:t>Procedure clear</w:t>
            </w:r>
          </w:p>
        </w:tc>
        <w:tc>
          <w:tcPr>
            <w:tcW w:w="1842" w:type="dxa"/>
          </w:tcPr>
          <w:p w:rsidR="00EA681E" w:rsidRDefault="00EA681E" w:rsidP="00467715">
            <w:r>
              <w:t>Request procedure unclear</w:t>
            </w:r>
          </w:p>
        </w:tc>
        <w:tc>
          <w:tcPr>
            <w:tcW w:w="1842" w:type="dxa"/>
          </w:tcPr>
          <w:p w:rsidR="00EA681E" w:rsidRDefault="00EA681E" w:rsidP="00467715">
            <w:r w:rsidRPr="0037519A">
              <w:t>Not observed in policy</w:t>
            </w:r>
          </w:p>
        </w:tc>
      </w:tr>
      <w:tr w:rsidR="00EA681E" w:rsidTr="00EA681E">
        <w:tc>
          <w:tcPr>
            <w:tcW w:w="1841" w:type="dxa"/>
          </w:tcPr>
          <w:p w:rsidR="00EA681E" w:rsidRDefault="00EA681E" w:rsidP="00467715">
            <w:r>
              <w:t>Review procedure</w:t>
            </w:r>
          </w:p>
        </w:tc>
        <w:tc>
          <w:tcPr>
            <w:tcW w:w="1842" w:type="dxa"/>
          </w:tcPr>
          <w:p w:rsidR="00EA681E" w:rsidRDefault="00EA681E" w:rsidP="00467715">
            <w:r>
              <w:t>Procedure standardized</w:t>
            </w:r>
          </w:p>
        </w:tc>
        <w:tc>
          <w:tcPr>
            <w:tcW w:w="1842" w:type="dxa"/>
          </w:tcPr>
          <w:p w:rsidR="00EA681E" w:rsidRDefault="00EA681E" w:rsidP="00467715">
            <w:r>
              <w:t>Procedure clear</w:t>
            </w:r>
          </w:p>
        </w:tc>
        <w:tc>
          <w:tcPr>
            <w:tcW w:w="1842" w:type="dxa"/>
          </w:tcPr>
          <w:p w:rsidR="00EA681E" w:rsidRDefault="00EA681E" w:rsidP="00467715">
            <w:r>
              <w:t>Review procedure</w:t>
            </w:r>
          </w:p>
          <w:p w:rsidR="00EA681E" w:rsidRDefault="00EA681E" w:rsidP="00467715">
            <w:r>
              <w:t>unclear</w:t>
            </w:r>
          </w:p>
        </w:tc>
        <w:tc>
          <w:tcPr>
            <w:tcW w:w="1842" w:type="dxa"/>
          </w:tcPr>
          <w:p w:rsidR="00EA681E" w:rsidRDefault="00EA681E" w:rsidP="00467715">
            <w:r w:rsidRPr="0037519A">
              <w:t>Not observed in policy</w:t>
            </w:r>
          </w:p>
        </w:tc>
      </w:tr>
      <w:tr w:rsidR="00EA681E" w:rsidTr="00EA681E">
        <w:tc>
          <w:tcPr>
            <w:tcW w:w="1841" w:type="dxa"/>
          </w:tcPr>
          <w:p w:rsidR="00EA681E" w:rsidRDefault="00EA681E" w:rsidP="00467715">
            <w:r>
              <w:t>Communication of advanced standing findings</w:t>
            </w:r>
          </w:p>
        </w:tc>
        <w:tc>
          <w:tcPr>
            <w:tcW w:w="1842" w:type="dxa"/>
          </w:tcPr>
          <w:p w:rsidR="00EA681E" w:rsidRDefault="00EA681E" w:rsidP="00467715">
            <w:r>
              <w:t>Communication clear and timely</w:t>
            </w:r>
          </w:p>
        </w:tc>
        <w:tc>
          <w:tcPr>
            <w:tcW w:w="1842" w:type="dxa"/>
          </w:tcPr>
          <w:p w:rsidR="00EA681E" w:rsidRDefault="00EA681E" w:rsidP="00467715">
            <w:r>
              <w:t>Communication clear</w:t>
            </w:r>
          </w:p>
        </w:tc>
        <w:tc>
          <w:tcPr>
            <w:tcW w:w="1842" w:type="dxa"/>
          </w:tcPr>
          <w:p w:rsidR="00EA681E" w:rsidRDefault="00EA681E" w:rsidP="00467715">
            <w:r>
              <w:t>Observed in practice</w:t>
            </w:r>
          </w:p>
        </w:tc>
        <w:tc>
          <w:tcPr>
            <w:tcW w:w="1842" w:type="dxa"/>
          </w:tcPr>
          <w:p w:rsidR="00EA681E" w:rsidRDefault="00EA681E" w:rsidP="00467715">
            <w:r w:rsidRPr="0037519A">
              <w:t>Not observed in policy</w:t>
            </w:r>
          </w:p>
        </w:tc>
      </w:tr>
      <w:tr w:rsidR="00EA681E" w:rsidTr="00EA681E">
        <w:tc>
          <w:tcPr>
            <w:tcW w:w="1841" w:type="dxa"/>
          </w:tcPr>
          <w:p w:rsidR="00EA681E" w:rsidRDefault="00EA681E" w:rsidP="00467715">
            <w:r>
              <w:t>Appeal procedure</w:t>
            </w:r>
          </w:p>
        </w:tc>
        <w:tc>
          <w:tcPr>
            <w:tcW w:w="1842" w:type="dxa"/>
          </w:tcPr>
          <w:p w:rsidR="00EA681E" w:rsidRDefault="00EA681E" w:rsidP="00467715">
            <w:r>
              <w:t>Procedure clearly articulated</w:t>
            </w:r>
          </w:p>
        </w:tc>
        <w:tc>
          <w:tcPr>
            <w:tcW w:w="1842" w:type="dxa"/>
          </w:tcPr>
          <w:p w:rsidR="00EA681E" w:rsidRDefault="00EA681E" w:rsidP="00467715">
            <w:r>
              <w:t>Procedure generally articulated</w:t>
            </w:r>
          </w:p>
        </w:tc>
        <w:tc>
          <w:tcPr>
            <w:tcW w:w="1842" w:type="dxa"/>
          </w:tcPr>
          <w:p w:rsidR="00EA681E" w:rsidRDefault="00EA681E" w:rsidP="00467715">
            <w:r>
              <w:t>Procedure exists</w:t>
            </w:r>
          </w:p>
        </w:tc>
        <w:tc>
          <w:tcPr>
            <w:tcW w:w="1842" w:type="dxa"/>
          </w:tcPr>
          <w:p w:rsidR="00EA681E" w:rsidRPr="0037519A" w:rsidRDefault="00EA681E" w:rsidP="00467715">
            <w:r>
              <w:t>Not observed in policy</w:t>
            </w:r>
          </w:p>
        </w:tc>
      </w:tr>
    </w:tbl>
    <w:p w:rsidR="00EA681E" w:rsidRDefault="00EA681E" w:rsidP="00EA681E"/>
    <w:p w:rsidR="00EA681E" w:rsidRDefault="00EA681E" w:rsidP="00EA681E"/>
    <w:p w:rsidR="00EA681E" w:rsidRDefault="00EA681E" w:rsidP="00EA681E">
      <w:r>
        <w:br w:type="page"/>
      </w:r>
    </w:p>
    <w:p w:rsidR="00EA681E" w:rsidRDefault="00EA681E" w:rsidP="00EA681E">
      <w:pPr>
        <w:pStyle w:val="Heading2"/>
      </w:pPr>
      <w:r w:rsidRPr="0063646E">
        <w:lastRenderedPageBreak/>
        <w:t xml:space="preserve">Policy on Students’ Access to Qualified Instructors </w:t>
      </w:r>
      <w:proofErr w:type="gramStart"/>
      <w:r w:rsidRPr="0063646E">
        <w:t>Outside</w:t>
      </w:r>
      <w:proofErr w:type="gramEnd"/>
      <w:r w:rsidRPr="0063646E">
        <w:t xml:space="preserve"> the Classroom </w:t>
      </w:r>
    </w:p>
    <w:p w:rsidR="00EA681E" w:rsidRDefault="00EA681E" w:rsidP="00EA681E"/>
    <w:p w:rsidR="00EA681E" w:rsidRDefault="00EA681E" w:rsidP="00EA681E">
      <w:r w:rsidRPr="0063646E">
        <w:t xml:space="preserve">A policy </w:t>
      </w:r>
      <w:r>
        <w:t>that articulates access to qualified instructors outside the classroom is of particular importance</w:t>
      </w:r>
      <w:r w:rsidRPr="0063646E">
        <w:t> to adult learners</w:t>
      </w:r>
      <w:r>
        <w:t xml:space="preserve">. Characteristics common to the success of adult learners include open feedback and sharing of experiential/prior learning components of current learning; consolidation of learning through conversation and interactive processes; and time to digest new information.  These characteristics often lead learners to seek out access to qualified instructors beyond the classroom setting. </w:t>
      </w:r>
    </w:p>
    <w:p w:rsidR="00EA681E" w:rsidRPr="00873236" w:rsidRDefault="00EA681E" w:rsidP="00EA681E"/>
    <w:p w:rsidR="00EA681E" w:rsidRPr="00B4728E" w:rsidRDefault="00EA681E" w:rsidP="00EA681E">
      <w:r>
        <w:t xml:space="preserve">MTCU 15 </w:t>
      </w:r>
      <w:proofErr w:type="gramStart"/>
      <w:r w:rsidRPr="00B4728E">
        <w:t>A</w:t>
      </w:r>
      <w:r>
        <w:t>ccess</w:t>
      </w:r>
      <w:proofErr w:type="gramEnd"/>
      <w:r>
        <w:t xml:space="preserve"> Outside Classroom </w:t>
      </w:r>
      <w:r w:rsidRPr="00B4728E">
        <w:t>Policy:</w:t>
      </w:r>
    </w:p>
    <w:p w:rsidR="00EA681E" w:rsidRPr="00B4728E" w:rsidRDefault="00EA681E" w:rsidP="00EA681E">
      <w:pPr>
        <w:widowControl/>
        <w:numPr>
          <w:ilvl w:val="0"/>
          <w:numId w:val="12"/>
        </w:numPr>
        <w:autoSpaceDE/>
        <w:autoSpaceDN/>
        <w:spacing w:line="259" w:lineRule="auto"/>
      </w:pPr>
      <w:r w:rsidRPr="00B4728E">
        <w:t>Observed</w:t>
      </w:r>
    </w:p>
    <w:p w:rsidR="00EA681E" w:rsidRPr="00B4728E" w:rsidRDefault="00EA681E" w:rsidP="00EA681E">
      <w:pPr>
        <w:widowControl/>
        <w:numPr>
          <w:ilvl w:val="0"/>
          <w:numId w:val="12"/>
        </w:numPr>
        <w:autoSpaceDE/>
        <w:autoSpaceDN/>
        <w:spacing w:after="160" w:line="259" w:lineRule="auto"/>
      </w:pPr>
      <w:r w:rsidRPr="00B4728E">
        <w:t>Not observed</w:t>
      </w:r>
    </w:p>
    <w:tbl>
      <w:tblPr>
        <w:tblStyle w:val="TableGrid"/>
        <w:tblW w:w="0" w:type="auto"/>
        <w:tblInd w:w="198" w:type="dxa"/>
        <w:tblLook w:val="04A0" w:firstRow="1" w:lastRow="0" w:firstColumn="1" w:lastColumn="0" w:noHBand="0" w:noVBand="1"/>
      </w:tblPr>
      <w:tblGrid>
        <w:gridCol w:w="1872"/>
        <w:gridCol w:w="1506"/>
        <w:gridCol w:w="1506"/>
        <w:gridCol w:w="1350"/>
        <w:gridCol w:w="1433"/>
      </w:tblGrid>
      <w:tr w:rsidR="00EA681E" w:rsidTr="00EA681E">
        <w:tc>
          <w:tcPr>
            <w:tcW w:w="1872" w:type="dxa"/>
          </w:tcPr>
          <w:p w:rsidR="00EA681E" w:rsidRDefault="00EA681E" w:rsidP="00467715">
            <w:pPr>
              <w:jc w:val="center"/>
            </w:pPr>
            <w:r>
              <w:t>DOMAIN</w:t>
            </w:r>
          </w:p>
        </w:tc>
        <w:tc>
          <w:tcPr>
            <w:tcW w:w="1506" w:type="dxa"/>
          </w:tcPr>
          <w:p w:rsidR="00EA681E" w:rsidRDefault="00EA681E" w:rsidP="00467715">
            <w:pPr>
              <w:jc w:val="center"/>
            </w:pPr>
            <w:r>
              <w:t>3</w:t>
            </w:r>
          </w:p>
        </w:tc>
        <w:tc>
          <w:tcPr>
            <w:tcW w:w="1506" w:type="dxa"/>
          </w:tcPr>
          <w:p w:rsidR="00EA681E" w:rsidRDefault="00EA681E" w:rsidP="00467715">
            <w:pPr>
              <w:jc w:val="center"/>
            </w:pPr>
            <w:r>
              <w:t>2</w:t>
            </w:r>
          </w:p>
        </w:tc>
        <w:tc>
          <w:tcPr>
            <w:tcW w:w="1350" w:type="dxa"/>
          </w:tcPr>
          <w:p w:rsidR="00EA681E" w:rsidRDefault="00EA681E" w:rsidP="00467715">
            <w:pPr>
              <w:jc w:val="center"/>
            </w:pPr>
            <w:r>
              <w:t>1</w:t>
            </w:r>
          </w:p>
        </w:tc>
        <w:tc>
          <w:tcPr>
            <w:tcW w:w="1433" w:type="dxa"/>
          </w:tcPr>
          <w:p w:rsidR="00EA681E" w:rsidRDefault="00EA681E" w:rsidP="00467715">
            <w:pPr>
              <w:jc w:val="center"/>
            </w:pPr>
            <w:r>
              <w:t>0</w:t>
            </w:r>
          </w:p>
        </w:tc>
      </w:tr>
      <w:tr w:rsidR="00EA681E" w:rsidTr="00EA681E">
        <w:tc>
          <w:tcPr>
            <w:tcW w:w="1872" w:type="dxa"/>
          </w:tcPr>
          <w:p w:rsidR="00EA681E" w:rsidRDefault="00EA681E" w:rsidP="00467715">
            <w:r>
              <w:t>Office Hours of Instructors in proximity to class time</w:t>
            </w:r>
          </w:p>
        </w:tc>
        <w:tc>
          <w:tcPr>
            <w:tcW w:w="1506" w:type="dxa"/>
          </w:tcPr>
          <w:p w:rsidR="00EA681E" w:rsidRDefault="00EA681E" w:rsidP="00467715">
            <w:r>
              <w:t>Extensive hours in proximity to class time</w:t>
            </w:r>
          </w:p>
        </w:tc>
        <w:tc>
          <w:tcPr>
            <w:tcW w:w="1506" w:type="dxa"/>
          </w:tcPr>
          <w:p w:rsidR="00EA681E" w:rsidRDefault="00EA681E" w:rsidP="00467715">
            <w:r>
              <w:t>Limited hours in close proximity to class time</w:t>
            </w:r>
          </w:p>
        </w:tc>
        <w:tc>
          <w:tcPr>
            <w:tcW w:w="1350" w:type="dxa"/>
          </w:tcPr>
          <w:p w:rsidR="00EA681E" w:rsidRDefault="00EA681E" w:rsidP="00467715">
            <w:r>
              <w:t>Limited hours not in close proximity to class time</w:t>
            </w:r>
          </w:p>
        </w:tc>
        <w:tc>
          <w:tcPr>
            <w:tcW w:w="1433" w:type="dxa"/>
          </w:tcPr>
          <w:p w:rsidR="00EA681E" w:rsidRDefault="00EA681E" w:rsidP="00467715">
            <w:r>
              <w:t>No policy observed</w:t>
            </w:r>
          </w:p>
        </w:tc>
      </w:tr>
      <w:tr w:rsidR="00EA681E" w:rsidTr="00EA681E">
        <w:tc>
          <w:tcPr>
            <w:tcW w:w="1872" w:type="dxa"/>
          </w:tcPr>
          <w:p w:rsidR="00EA681E" w:rsidRDefault="00EA681E" w:rsidP="00467715">
            <w:r>
              <w:t>Non-office hour access</w:t>
            </w:r>
          </w:p>
        </w:tc>
        <w:tc>
          <w:tcPr>
            <w:tcW w:w="1506" w:type="dxa"/>
          </w:tcPr>
          <w:p w:rsidR="00EA681E" w:rsidRDefault="00EA681E" w:rsidP="00467715">
            <w:r>
              <w:t>Multiple opportunities for multiple points of access</w:t>
            </w:r>
          </w:p>
        </w:tc>
        <w:tc>
          <w:tcPr>
            <w:tcW w:w="1506" w:type="dxa"/>
          </w:tcPr>
          <w:p w:rsidR="00EA681E" w:rsidRDefault="00EA681E" w:rsidP="00467715">
            <w:r>
              <w:t>Multiple opportunities for single point of access</w:t>
            </w:r>
          </w:p>
        </w:tc>
        <w:tc>
          <w:tcPr>
            <w:tcW w:w="1350" w:type="dxa"/>
          </w:tcPr>
          <w:p w:rsidR="00EA681E" w:rsidRDefault="00EA681E" w:rsidP="00467715">
            <w:r>
              <w:t>Limited opportunity for single point of access</w:t>
            </w:r>
          </w:p>
        </w:tc>
        <w:tc>
          <w:tcPr>
            <w:tcW w:w="1433" w:type="dxa"/>
          </w:tcPr>
          <w:p w:rsidR="00EA681E" w:rsidRDefault="00EA681E" w:rsidP="00467715">
            <w:r>
              <w:t>No policy observed</w:t>
            </w:r>
          </w:p>
        </w:tc>
      </w:tr>
      <w:tr w:rsidR="00EA681E" w:rsidTr="00EA681E">
        <w:tc>
          <w:tcPr>
            <w:tcW w:w="1872" w:type="dxa"/>
          </w:tcPr>
          <w:p w:rsidR="00EA681E" w:rsidRDefault="00EA681E" w:rsidP="00467715">
            <w:r>
              <w:t>Flexible access (e.g., e-mail, in-person, video-conferencing)</w:t>
            </w:r>
          </w:p>
        </w:tc>
        <w:tc>
          <w:tcPr>
            <w:tcW w:w="1506" w:type="dxa"/>
          </w:tcPr>
          <w:p w:rsidR="00EA681E" w:rsidRDefault="00EA681E" w:rsidP="00467715">
            <w:r>
              <w:t xml:space="preserve">Extensive flexibility </w:t>
            </w:r>
          </w:p>
        </w:tc>
        <w:tc>
          <w:tcPr>
            <w:tcW w:w="1506" w:type="dxa"/>
          </w:tcPr>
          <w:p w:rsidR="00EA681E" w:rsidRDefault="00EA681E" w:rsidP="00467715">
            <w:r>
              <w:t>Flexible access</w:t>
            </w:r>
          </w:p>
        </w:tc>
        <w:tc>
          <w:tcPr>
            <w:tcW w:w="1350" w:type="dxa"/>
          </w:tcPr>
          <w:p w:rsidR="00EA681E" w:rsidRDefault="00EA681E" w:rsidP="00467715">
            <w:r>
              <w:t>Inflexible access</w:t>
            </w:r>
          </w:p>
        </w:tc>
        <w:tc>
          <w:tcPr>
            <w:tcW w:w="1433" w:type="dxa"/>
          </w:tcPr>
          <w:p w:rsidR="00EA681E" w:rsidRDefault="00EA681E" w:rsidP="00467715">
            <w:r>
              <w:t>No policy observed</w:t>
            </w:r>
          </w:p>
        </w:tc>
      </w:tr>
      <w:tr w:rsidR="00EA681E" w:rsidTr="00EA681E">
        <w:tc>
          <w:tcPr>
            <w:tcW w:w="1872" w:type="dxa"/>
          </w:tcPr>
          <w:p w:rsidR="00EA681E" w:rsidRDefault="00EA681E" w:rsidP="00467715">
            <w:r>
              <w:t xml:space="preserve">Access accommodations for adult learners </w:t>
            </w:r>
          </w:p>
        </w:tc>
        <w:tc>
          <w:tcPr>
            <w:tcW w:w="1506" w:type="dxa"/>
          </w:tcPr>
          <w:p w:rsidR="00EA681E" w:rsidRDefault="00EA681E" w:rsidP="00467715">
            <w:r>
              <w:t>Access linked to needs of part-time and evening students</w:t>
            </w:r>
          </w:p>
        </w:tc>
        <w:tc>
          <w:tcPr>
            <w:tcW w:w="1506" w:type="dxa"/>
          </w:tcPr>
          <w:p w:rsidR="00EA681E" w:rsidRDefault="00EA681E" w:rsidP="00467715">
            <w:r>
              <w:t>Access linked to majority of student schedules</w:t>
            </w:r>
          </w:p>
        </w:tc>
        <w:tc>
          <w:tcPr>
            <w:tcW w:w="1350" w:type="dxa"/>
          </w:tcPr>
          <w:p w:rsidR="00EA681E" w:rsidRDefault="00EA681E" w:rsidP="00467715">
            <w:r>
              <w:t>Access not linked to student schedules</w:t>
            </w:r>
          </w:p>
        </w:tc>
        <w:tc>
          <w:tcPr>
            <w:tcW w:w="1433" w:type="dxa"/>
          </w:tcPr>
          <w:p w:rsidR="00EA681E" w:rsidRDefault="00EA681E" w:rsidP="00467715">
            <w:r>
              <w:t>No policy observed</w:t>
            </w:r>
          </w:p>
        </w:tc>
      </w:tr>
    </w:tbl>
    <w:p w:rsidR="00EA681E" w:rsidRDefault="00EA681E" w:rsidP="00EA681E"/>
    <w:p w:rsidR="00EA681E" w:rsidRDefault="00EA681E" w:rsidP="00EA681E">
      <w:r>
        <w:br w:type="page"/>
      </w:r>
    </w:p>
    <w:p w:rsidR="00EA681E" w:rsidRPr="0063646E" w:rsidRDefault="00EA681E" w:rsidP="00EA681E">
      <w:pPr>
        <w:pStyle w:val="Heading2"/>
      </w:pPr>
      <w:r w:rsidRPr="0063646E">
        <w:lastRenderedPageBreak/>
        <w:t>Grading Policy (including requirements for re-examinations and repeating failed subjects)</w:t>
      </w:r>
    </w:p>
    <w:p w:rsidR="00EA681E" w:rsidRDefault="00EA681E" w:rsidP="00EA681E"/>
    <w:p w:rsidR="00EA681E" w:rsidRPr="00B4728E" w:rsidRDefault="00EA681E" w:rsidP="00EA681E">
      <w:r>
        <w:t xml:space="preserve">For adult learners in a psychotherapy education program, </w:t>
      </w:r>
      <w:r w:rsidRPr="00281762">
        <w:t>two recognized grading systems</w:t>
      </w:r>
      <w:r>
        <w:t xml:space="preserve"> are relevant</w:t>
      </w:r>
      <w:r w:rsidRPr="00281762">
        <w:t xml:space="preserve">: a standard grading system used for </w:t>
      </w:r>
      <w:r>
        <w:t xml:space="preserve">the </w:t>
      </w:r>
      <w:r w:rsidRPr="00281762">
        <w:t>academic</w:t>
      </w:r>
      <w:r>
        <w:t>ally-</w:t>
      </w:r>
      <w:r w:rsidRPr="00281762">
        <w:t>based programming; and a competency</w:t>
      </w:r>
      <w:r>
        <w:t>-</w:t>
      </w:r>
      <w:r w:rsidRPr="00281762">
        <w:t>based grading system used for courses in which satisfactory acquisition of defined skills</w:t>
      </w:r>
      <w:r>
        <w:t>, knowledge and attributes as articulated in the entry-to-practice competency profile</w:t>
      </w:r>
      <w:r w:rsidRPr="00281762">
        <w:t xml:space="preserve"> is the basis of evaluation and grading. </w:t>
      </w:r>
    </w:p>
    <w:p w:rsidR="00EA681E" w:rsidRDefault="00EA681E" w:rsidP="00EA681E"/>
    <w:p w:rsidR="00EA681E" w:rsidRPr="00B4728E" w:rsidRDefault="00EA681E" w:rsidP="00EA681E">
      <w:r>
        <w:t>MTCU 16 Grading</w:t>
      </w:r>
      <w:r w:rsidRPr="00B4728E">
        <w:t xml:space="preserve"> Policy:</w:t>
      </w:r>
    </w:p>
    <w:p w:rsidR="00EA681E" w:rsidRPr="00B4728E" w:rsidRDefault="00EA681E" w:rsidP="00EA681E">
      <w:pPr>
        <w:widowControl/>
        <w:numPr>
          <w:ilvl w:val="0"/>
          <w:numId w:val="12"/>
        </w:numPr>
        <w:autoSpaceDE/>
        <w:autoSpaceDN/>
        <w:spacing w:line="259" w:lineRule="auto"/>
      </w:pPr>
      <w:r w:rsidRPr="00B4728E">
        <w:t>Observed</w:t>
      </w:r>
    </w:p>
    <w:p w:rsidR="00EA681E" w:rsidRPr="00B4728E" w:rsidRDefault="00EA681E" w:rsidP="00EA681E">
      <w:pPr>
        <w:widowControl/>
        <w:numPr>
          <w:ilvl w:val="0"/>
          <w:numId w:val="12"/>
        </w:numPr>
        <w:autoSpaceDE/>
        <w:autoSpaceDN/>
        <w:spacing w:after="160" w:line="259" w:lineRule="auto"/>
      </w:pPr>
      <w:r w:rsidRPr="00B4728E">
        <w:t>Not observed</w:t>
      </w:r>
    </w:p>
    <w:tbl>
      <w:tblPr>
        <w:tblStyle w:val="TableGrid"/>
        <w:tblW w:w="0" w:type="auto"/>
        <w:tblInd w:w="288" w:type="dxa"/>
        <w:tblLayout w:type="fixed"/>
        <w:tblLook w:val="04A0" w:firstRow="1" w:lastRow="0" w:firstColumn="1" w:lastColumn="0" w:noHBand="0" w:noVBand="1"/>
      </w:tblPr>
      <w:tblGrid>
        <w:gridCol w:w="1728"/>
        <w:gridCol w:w="1728"/>
        <w:gridCol w:w="1729"/>
        <w:gridCol w:w="1728"/>
        <w:gridCol w:w="1729"/>
      </w:tblGrid>
      <w:tr w:rsidR="00EA681E" w:rsidRPr="00B4728E" w:rsidTr="00EA681E">
        <w:tc>
          <w:tcPr>
            <w:tcW w:w="1728" w:type="dxa"/>
          </w:tcPr>
          <w:p w:rsidR="00EA681E" w:rsidRPr="00B4728E" w:rsidRDefault="00EA681E" w:rsidP="00467715">
            <w:pPr>
              <w:spacing w:line="259" w:lineRule="auto"/>
            </w:pPr>
            <w:r w:rsidRPr="00B4728E">
              <w:t>DOMAIN</w:t>
            </w:r>
          </w:p>
        </w:tc>
        <w:tc>
          <w:tcPr>
            <w:tcW w:w="1728" w:type="dxa"/>
          </w:tcPr>
          <w:p w:rsidR="00EA681E" w:rsidRPr="00B4728E" w:rsidRDefault="00EA681E" w:rsidP="00467715">
            <w:pPr>
              <w:spacing w:line="259" w:lineRule="auto"/>
            </w:pPr>
            <w:r>
              <w:t>3</w:t>
            </w:r>
          </w:p>
        </w:tc>
        <w:tc>
          <w:tcPr>
            <w:tcW w:w="1729" w:type="dxa"/>
          </w:tcPr>
          <w:p w:rsidR="00EA681E" w:rsidRPr="00B4728E" w:rsidRDefault="00EA681E" w:rsidP="00467715">
            <w:pPr>
              <w:spacing w:line="259" w:lineRule="auto"/>
            </w:pPr>
            <w:r>
              <w:t>2</w:t>
            </w:r>
          </w:p>
        </w:tc>
        <w:tc>
          <w:tcPr>
            <w:tcW w:w="1728" w:type="dxa"/>
          </w:tcPr>
          <w:p w:rsidR="00EA681E" w:rsidRPr="00B4728E" w:rsidRDefault="00EA681E" w:rsidP="00467715">
            <w:pPr>
              <w:spacing w:line="259" w:lineRule="auto"/>
            </w:pPr>
            <w:r>
              <w:t>1</w:t>
            </w:r>
          </w:p>
        </w:tc>
        <w:tc>
          <w:tcPr>
            <w:tcW w:w="1729" w:type="dxa"/>
          </w:tcPr>
          <w:p w:rsidR="00EA681E" w:rsidRPr="00B4728E" w:rsidRDefault="00EA681E" w:rsidP="00467715">
            <w:pPr>
              <w:spacing w:line="259" w:lineRule="auto"/>
            </w:pPr>
            <w:r>
              <w:t>0</w:t>
            </w:r>
          </w:p>
        </w:tc>
      </w:tr>
      <w:tr w:rsidR="00EA681E" w:rsidRPr="00B4728E" w:rsidTr="00EA681E">
        <w:tc>
          <w:tcPr>
            <w:tcW w:w="1728" w:type="dxa"/>
          </w:tcPr>
          <w:p w:rsidR="00EA681E" w:rsidRPr="00B4728E" w:rsidRDefault="00EA681E" w:rsidP="00467715">
            <w:pPr>
              <w:spacing w:line="259" w:lineRule="auto"/>
            </w:pPr>
            <w:r>
              <w:t>Formative assessments</w:t>
            </w:r>
          </w:p>
        </w:tc>
        <w:tc>
          <w:tcPr>
            <w:tcW w:w="1728" w:type="dxa"/>
          </w:tcPr>
          <w:p w:rsidR="00EA681E" w:rsidRPr="00B4728E" w:rsidRDefault="00EA681E" w:rsidP="00467715">
            <w:pPr>
              <w:spacing w:line="259" w:lineRule="auto"/>
            </w:pPr>
            <w:r>
              <w:t>Diverse systematic measures</w:t>
            </w:r>
          </w:p>
        </w:tc>
        <w:tc>
          <w:tcPr>
            <w:tcW w:w="1729" w:type="dxa"/>
          </w:tcPr>
          <w:p w:rsidR="00EA681E" w:rsidRPr="00B4728E" w:rsidRDefault="00EA681E" w:rsidP="00467715">
            <w:pPr>
              <w:spacing w:line="259" w:lineRule="auto"/>
            </w:pPr>
            <w:r>
              <w:t>Single systematic measure</w:t>
            </w:r>
          </w:p>
        </w:tc>
        <w:tc>
          <w:tcPr>
            <w:tcW w:w="1728" w:type="dxa"/>
          </w:tcPr>
          <w:p w:rsidR="00EA681E" w:rsidRPr="00B4728E" w:rsidRDefault="00EA681E" w:rsidP="00467715">
            <w:pPr>
              <w:spacing w:line="259" w:lineRule="auto"/>
            </w:pPr>
            <w:r>
              <w:t xml:space="preserve">Single measures without </w:t>
            </w:r>
          </w:p>
        </w:tc>
        <w:tc>
          <w:tcPr>
            <w:tcW w:w="1729" w:type="dxa"/>
          </w:tcPr>
          <w:p w:rsidR="00EA681E" w:rsidRPr="00B4728E" w:rsidRDefault="00EA681E" w:rsidP="00467715">
            <w:pPr>
              <w:spacing w:line="259" w:lineRule="auto"/>
            </w:pPr>
            <w:r>
              <w:t>No formative assessments</w:t>
            </w:r>
          </w:p>
        </w:tc>
      </w:tr>
      <w:tr w:rsidR="00EA681E" w:rsidRPr="00B4728E" w:rsidTr="00EA681E">
        <w:tc>
          <w:tcPr>
            <w:tcW w:w="1728" w:type="dxa"/>
          </w:tcPr>
          <w:p w:rsidR="00EA681E" w:rsidRPr="00B4728E" w:rsidRDefault="00EA681E" w:rsidP="00467715">
            <w:pPr>
              <w:spacing w:line="259" w:lineRule="auto"/>
            </w:pPr>
            <w:r>
              <w:t>Summative assessments</w:t>
            </w:r>
          </w:p>
        </w:tc>
        <w:tc>
          <w:tcPr>
            <w:tcW w:w="1728" w:type="dxa"/>
          </w:tcPr>
          <w:p w:rsidR="00EA681E" w:rsidRDefault="00EA681E" w:rsidP="00467715">
            <w:pPr>
              <w:spacing w:line="259" w:lineRule="auto"/>
            </w:pPr>
            <w:r>
              <w:t>Diverse systematic</w:t>
            </w:r>
          </w:p>
          <w:p w:rsidR="00EA681E" w:rsidRPr="00B4728E" w:rsidRDefault="00EA681E" w:rsidP="00467715">
            <w:pPr>
              <w:spacing w:line="259" w:lineRule="auto"/>
            </w:pPr>
            <w:r>
              <w:t>measures</w:t>
            </w:r>
          </w:p>
        </w:tc>
        <w:tc>
          <w:tcPr>
            <w:tcW w:w="1729" w:type="dxa"/>
          </w:tcPr>
          <w:p w:rsidR="00EA681E" w:rsidRPr="00B4728E" w:rsidRDefault="00EA681E" w:rsidP="00467715">
            <w:pPr>
              <w:spacing w:line="259" w:lineRule="auto"/>
            </w:pPr>
            <w:r>
              <w:t>Single systematic measure</w:t>
            </w:r>
          </w:p>
        </w:tc>
        <w:tc>
          <w:tcPr>
            <w:tcW w:w="1728" w:type="dxa"/>
          </w:tcPr>
          <w:p w:rsidR="00EA681E" w:rsidRPr="00B4728E" w:rsidRDefault="00EA681E" w:rsidP="00467715">
            <w:pPr>
              <w:spacing w:line="259" w:lineRule="auto"/>
            </w:pPr>
            <w:r>
              <w:t>Non-systematic summative measures</w:t>
            </w:r>
          </w:p>
        </w:tc>
        <w:tc>
          <w:tcPr>
            <w:tcW w:w="1729" w:type="dxa"/>
          </w:tcPr>
          <w:p w:rsidR="00EA681E" w:rsidRPr="00B4728E" w:rsidRDefault="00EA681E" w:rsidP="00467715">
            <w:pPr>
              <w:spacing w:line="259" w:lineRule="auto"/>
            </w:pPr>
            <w:r>
              <w:t>No summative assessments</w:t>
            </w:r>
          </w:p>
        </w:tc>
      </w:tr>
      <w:tr w:rsidR="00EA681E" w:rsidRPr="00B4728E" w:rsidTr="00EA681E">
        <w:tc>
          <w:tcPr>
            <w:tcW w:w="1728" w:type="dxa"/>
          </w:tcPr>
          <w:p w:rsidR="00EA681E" w:rsidRPr="00B4728E" w:rsidRDefault="00EA681E" w:rsidP="00467715">
            <w:pPr>
              <w:spacing w:line="259" w:lineRule="auto"/>
            </w:pPr>
            <w:bookmarkStart w:id="2" w:name="_Hlk517350465"/>
            <w:r>
              <w:t>Principles of Adult Learning</w:t>
            </w:r>
          </w:p>
        </w:tc>
        <w:tc>
          <w:tcPr>
            <w:tcW w:w="1728" w:type="dxa"/>
          </w:tcPr>
          <w:p w:rsidR="00EA681E" w:rsidRPr="00B4728E" w:rsidRDefault="00EA681E" w:rsidP="00467715">
            <w:pPr>
              <w:spacing w:line="259" w:lineRule="auto"/>
            </w:pPr>
            <w:r>
              <w:t>Consistent</w:t>
            </w:r>
          </w:p>
        </w:tc>
        <w:tc>
          <w:tcPr>
            <w:tcW w:w="1729" w:type="dxa"/>
          </w:tcPr>
          <w:p w:rsidR="00EA681E" w:rsidRPr="00B4728E" w:rsidRDefault="00EA681E" w:rsidP="00467715">
            <w:pPr>
              <w:spacing w:line="259" w:lineRule="auto"/>
            </w:pPr>
            <w:r>
              <w:t xml:space="preserve">Mostly consistent </w:t>
            </w:r>
          </w:p>
        </w:tc>
        <w:tc>
          <w:tcPr>
            <w:tcW w:w="1728" w:type="dxa"/>
          </w:tcPr>
          <w:p w:rsidR="00EA681E" w:rsidRPr="00B4728E" w:rsidRDefault="00EA681E" w:rsidP="00467715">
            <w:pPr>
              <w:spacing w:line="259" w:lineRule="auto"/>
            </w:pPr>
            <w:r>
              <w:t>Variably consistent</w:t>
            </w:r>
          </w:p>
        </w:tc>
        <w:tc>
          <w:tcPr>
            <w:tcW w:w="1729" w:type="dxa"/>
          </w:tcPr>
          <w:p w:rsidR="00EA681E" w:rsidRPr="00B4728E" w:rsidRDefault="00EA681E" w:rsidP="00467715">
            <w:pPr>
              <w:spacing w:line="259" w:lineRule="auto"/>
            </w:pPr>
            <w:r>
              <w:t>No principles evident</w:t>
            </w:r>
          </w:p>
        </w:tc>
      </w:tr>
      <w:bookmarkEnd w:id="2"/>
      <w:tr w:rsidR="00EA681E" w:rsidRPr="00B4728E" w:rsidTr="00EA681E">
        <w:tc>
          <w:tcPr>
            <w:tcW w:w="1728" w:type="dxa"/>
          </w:tcPr>
          <w:p w:rsidR="00EA681E" w:rsidRPr="00B4728E" w:rsidRDefault="00EA681E" w:rsidP="00467715">
            <w:pPr>
              <w:spacing w:line="259" w:lineRule="auto"/>
            </w:pPr>
            <w:r>
              <w:t>Principles of Fair Assessment</w:t>
            </w:r>
          </w:p>
        </w:tc>
        <w:tc>
          <w:tcPr>
            <w:tcW w:w="1728" w:type="dxa"/>
          </w:tcPr>
          <w:p w:rsidR="00EA681E" w:rsidRPr="00B4728E" w:rsidRDefault="00EA681E" w:rsidP="00467715">
            <w:pPr>
              <w:spacing w:line="259" w:lineRule="auto"/>
            </w:pPr>
            <w:r>
              <w:t>Consistent</w:t>
            </w:r>
          </w:p>
        </w:tc>
        <w:tc>
          <w:tcPr>
            <w:tcW w:w="1729" w:type="dxa"/>
          </w:tcPr>
          <w:p w:rsidR="00EA681E" w:rsidRPr="00B4728E" w:rsidRDefault="00EA681E" w:rsidP="00467715">
            <w:pPr>
              <w:spacing w:line="259" w:lineRule="auto"/>
            </w:pPr>
            <w:r>
              <w:t>Mostly consistent</w:t>
            </w:r>
          </w:p>
        </w:tc>
        <w:tc>
          <w:tcPr>
            <w:tcW w:w="1728" w:type="dxa"/>
          </w:tcPr>
          <w:p w:rsidR="00EA681E" w:rsidRPr="00B4728E" w:rsidRDefault="00EA681E" w:rsidP="00467715">
            <w:pPr>
              <w:spacing w:line="259" w:lineRule="auto"/>
            </w:pPr>
            <w:r>
              <w:t>Variably consistent</w:t>
            </w:r>
          </w:p>
        </w:tc>
        <w:tc>
          <w:tcPr>
            <w:tcW w:w="1729" w:type="dxa"/>
          </w:tcPr>
          <w:p w:rsidR="00EA681E" w:rsidRPr="00B4728E" w:rsidRDefault="00EA681E" w:rsidP="00467715">
            <w:pPr>
              <w:spacing w:line="259" w:lineRule="auto"/>
            </w:pPr>
            <w:r>
              <w:t>No principles evident</w:t>
            </w:r>
          </w:p>
        </w:tc>
      </w:tr>
      <w:tr w:rsidR="00EA681E" w:rsidRPr="00B4728E" w:rsidTr="00EA681E">
        <w:tc>
          <w:tcPr>
            <w:tcW w:w="1728" w:type="dxa"/>
          </w:tcPr>
          <w:p w:rsidR="00EA681E" w:rsidRPr="00B4728E" w:rsidRDefault="00EA681E" w:rsidP="00467715">
            <w:pPr>
              <w:spacing w:line="259" w:lineRule="auto"/>
            </w:pPr>
            <w:r>
              <w:t>Re-examination Options</w:t>
            </w:r>
          </w:p>
        </w:tc>
        <w:tc>
          <w:tcPr>
            <w:tcW w:w="1728" w:type="dxa"/>
          </w:tcPr>
          <w:p w:rsidR="00EA681E" w:rsidRPr="00B4728E" w:rsidRDefault="00EA681E" w:rsidP="00467715">
            <w:pPr>
              <w:spacing w:line="259" w:lineRule="auto"/>
            </w:pPr>
            <w:r>
              <w:t>Diverse / contextualized / individualized</w:t>
            </w:r>
          </w:p>
        </w:tc>
        <w:tc>
          <w:tcPr>
            <w:tcW w:w="1729" w:type="dxa"/>
          </w:tcPr>
          <w:p w:rsidR="00EA681E" w:rsidRPr="00B4728E" w:rsidRDefault="00EA681E" w:rsidP="00467715">
            <w:pPr>
              <w:spacing w:line="259" w:lineRule="auto"/>
            </w:pPr>
            <w:r>
              <w:t>Available consistently with context</w:t>
            </w:r>
          </w:p>
        </w:tc>
        <w:tc>
          <w:tcPr>
            <w:tcW w:w="1728" w:type="dxa"/>
          </w:tcPr>
          <w:p w:rsidR="00EA681E" w:rsidRPr="00B4728E" w:rsidRDefault="00EA681E" w:rsidP="00467715">
            <w:pPr>
              <w:spacing w:line="259" w:lineRule="auto"/>
            </w:pPr>
            <w:r>
              <w:t>Available often with context</w:t>
            </w:r>
          </w:p>
        </w:tc>
        <w:tc>
          <w:tcPr>
            <w:tcW w:w="1729" w:type="dxa"/>
          </w:tcPr>
          <w:p w:rsidR="00EA681E" w:rsidRPr="00B4728E" w:rsidRDefault="00EA681E" w:rsidP="00467715">
            <w:pPr>
              <w:spacing w:line="259" w:lineRule="auto"/>
            </w:pPr>
            <w:r>
              <w:t xml:space="preserve">Not available </w:t>
            </w:r>
          </w:p>
        </w:tc>
      </w:tr>
      <w:tr w:rsidR="00EA681E" w:rsidRPr="00B4728E" w:rsidTr="00EA681E">
        <w:tc>
          <w:tcPr>
            <w:tcW w:w="1728" w:type="dxa"/>
          </w:tcPr>
          <w:p w:rsidR="00EA681E" w:rsidRDefault="00EA681E" w:rsidP="00467715">
            <w:r>
              <w:t>Grading system includes temporary grades</w:t>
            </w:r>
          </w:p>
        </w:tc>
        <w:tc>
          <w:tcPr>
            <w:tcW w:w="1728" w:type="dxa"/>
          </w:tcPr>
          <w:p w:rsidR="00EA681E" w:rsidRDefault="00EA681E" w:rsidP="00467715">
            <w:r>
              <w:t>“incomplete”, “in progress” and “compulsory withdrawal”</w:t>
            </w:r>
          </w:p>
          <w:p w:rsidR="00EA681E" w:rsidRDefault="00EA681E" w:rsidP="00467715">
            <w:r>
              <w:t>grades available with final grade appeal</w:t>
            </w:r>
          </w:p>
        </w:tc>
        <w:tc>
          <w:tcPr>
            <w:tcW w:w="1729" w:type="dxa"/>
          </w:tcPr>
          <w:p w:rsidR="00EA681E" w:rsidRDefault="00EA681E" w:rsidP="00467715">
            <w:r>
              <w:t xml:space="preserve">“incomplete”, “in progress” and “compulsory withdraw” grades available </w:t>
            </w:r>
          </w:p>
        </w:tc>
        <w:tc>
          <w:tcPr>
            <w:tcW w:w="1728" w:type="dxa"/>
          </w:tcPr>
          <w:p w:rsidR="00EA681E" w:rsidRDefault="00EA681E" w:rsidP="00467715">
            <w:r>
              <w:t xml:space="preserve">“withdraw” and “compulsory withdraw” grade available </w:t>
            </w:r>
          </w:p>
        </w:tc>
        <w:tc>
          <w:tcPr>
            <w:tcW w:w="1729" w:type="dxa"/>
          </w:tcPr>
          <w:p w:rsidR="00EA681E" w:rsidRDefault="00EA681E" w:rsidP="00467715">
            <w:r>
              <w:t>Not available</w:t>
            </w:r>
          </w:p>
        </w:tc>
      </w:tr>
      <w:tr w:rsidR="00EA681E" w:rsidRPr="00B4728E" w:rsidTr="00EA681E">
        <w:tc>
          <w:tcPr>
            <w:tcW w:w="1728" w:type="dxa"/>
          </w:tcPr>
          <w:p w:rsidR="00EA681E" w:rsidRDefault="00EA681E" w:rsidP="00467715">
            <w:r>
              <w:t>Dual grading</w:t>
            </w:r>
          </w:p>
        </w:tc>
        <w:tc>
          <w:tcPr>
            <w:tcW w:w="1728" w:type="dxa"/>
          </w:tcPr>
          <w:p w:rsidR="00EA681E" w:rsidRDefault="00EA681E" w:rsidP="00467715">
            <w:r>
              <w:t>Academic and competency grading available</w:t>
            </w:r>
          </w:p>
        </w:tc>
        <w:tc>
          <w:tcPr>
            <w:tcW w:w="1729" w:type="dxa"/>
          </w:tcPr>
          <w:p w:rsidR="00EA681E" w:rsidRDefault="00EA681E" w:rsidP="00467715">
            <w:r>
              <w:t>Competency grading only</w:t>
            </w:r>
          </w:p>
        </w:tc>
        <w:tc>
          <w:tcPr>
            <w:tcW w:w="1728" w:type="dxa"/>
          </w:tcPr>
          <w:p w:rsidR="00EA681E" w:rsidRDefault="00EA681E" w:rsidP="00467715">
            <w:r>
              <w:t>Standard academic grading only</w:t>
            </w:r>
          </w:p>
        </w:tc>
        <w:tc>
          <w:tcPr>
            <w:tcW w:w="1729" w:type="dxa"/>
          </w:tcPr>
          <w:p w:rsidR="00EA681E" w:rsidRDefault="00EA681E" w:rsidP="00467715">
            <w:r>
              <w:t>Not available</w:t>
            </w:r>
          </w:p>
        </w:tc>
      </w:tr>
      <w:tr w:rsidR="00EA681E" w:rsidRPr="00B4728E" w:rsidTr="00EA681E">
        <w:tc>
          <w:tcPr>
            <w:tcW w:w="1728" w:type="dxa"/>
          </w:tcPr>
          <w:p w:rsidR="00EA681E" w:rsidRPr="00B4728E" w:rsidRDefault="00EA681E" w:rsidP="00467715">
            <w:pPr>
              <w:spacing w:line="259" w:lineRule="auto"/>
            </w:pPr>
            <w:r>
              <w:t>Repeat of Course Options</w:t>
            </w:r>
          </w:p>
        </w:tc>
        <w:tc>
          <w:tcPr>
            <w:tcW w:w="1728" w:type="dxa"/>
          </w:tcPr>
          <w:p w:rsidR="00EA681E" w:rsidRPr="00B4728E" w:rsidRDefault="00EA681E" w:rsidP="00467715">
            <w:pPr>
              <w:spacing w:line="259" w:lineRule="auto"/>
            </w:pPr>
            <w:r>
              <w:t>Considers diversity and individuality within standardized approach</w:t>
            </w:r>
          </w:p>
        </w:tc>
        <w:tc>
          <w:tcPr>
            <w:tcW w:w="1729" w:type="dxa"/>
          </w:tcPr>
          <w:p w:rsidR="00EA681E" w:rsidRPr="00B4728E" w:rsidRDefault="00EA681E" w:rsidP="00467715">
            <w:pPr>
              <w:spacing w:line="259" w:lineRule="auto"/>
            </w:pPr>
            <w:r>
              <w:t>Standardized, advertised approach</w:t>
            </w:r>
          </w:p>
        </w:tc>
        <w:tc>
          <w:tcPr>
            <w:tcW w:w="1728" w:type="dxa"/>
          </w:tcPr>
          <w:p w:rsidR="00EA681E" w:rsidRPr="00B4728E" w:rsidRDefault="00EA681E" w:rsidP="00467715">
            <w:pPr>
              <w:spacing w:line="259" w:lineRule="auto"/>
            </w:pPr>
            <w:r>
              <w:t>Restrictively available</w:t>
            </w:r>
          </w:p>
        </w:tc>
        <w:tc>
          <w:tcPr>
            <w:tcW w:w="1729" w:type="dxa"/>
          </w:tcPr>
          <w:p w:rsidR="00EA681E" w:rsidRPr="00B4728E" w:rsidRDefault="00EA681E" w:rsidP="00467715">
            <w:pPr>
              <w:spacing w:line="259" w:lineRule="auto"/>
            </w:pPr>
            <w:r>
              <w:t>Not available</w:t>
            </w:r>
          </w:p>
        </w:tc>
      </w:tr>
    </w:tbl>
    <w:p w:rsidR="00EA681E" w:rsidRPr="00B4728E" w:rsidRDefault="00EA681E" w:rsidP="00EA681E">
      <w:r w:rsidRPr="00B4728E">
        <w:br w:type="page"/>
      </w:r>
    </w:p>
    <w:p w:rsidR="00EA681E" w:rsidRPr="0063646E" w:rsidRDefault="00EA681E" w:rsidP="00EA681E">
      <w:pPr>
        <w:pStyle w:val="Heading2"/>
      </w:pPr>
      <w:r w:rsidRPr="0063646E">
        <w:lastRenderedPageBreak/>
        <w:t xml:space="preserve">Policy on Measures to Mediate a Student’s Failure to Complete a Placement Satisfactorily </w:t>
      </w:r>
    </w:p>
    <w:p w:rsidR="00EA681E" w:rsidRDefault="00EA681E" w:rsidP="00EA681E"/>
    <w:p w:rsidR="00EA681E" w:rsidRDefault="00EA681E" w:rsidP="00EA681E">
      <w:r>
        <w:t>The competency-based clinical supervision process within a psychotherapy practicum</w:t>
      </w:r>
      <w:r w:rsidRPr="004630DD">
        <w:t xml:space="preserve"> </w:t>
      </w:r>
      <w:r>
        <w:t>is designed to</w:t>
      </w:r>
      <w:r w:rsidRPr="004630DD">
        <w:t xml:space="preserve"> consolidate and integrate theory and p</w:t>
      </w:r>
      <w:r>
        <w:t>rofessional p</w:t>
      </w:r>
      <w:r w:rsidRPr="004630DD">
        <w:t>ractice</w:t>
      </w:r>
      <w:r>
        <w:t>.</w:t>
      </w:r>
      <w:r w:rsidRPr="004630DD">
        <w:t xml:space="preserve"> </w:t>
      </w:r>
      <w:r>
        <w:t xml:space="preserve">Policies regarding unsatisfactory completion of </w:t>
      </w:r>
      <w:proofErr w:type="spellStart"/>
      <w:r>
        <w:t>practica</w:t>
      </w:r>
      <w:proofErr w:type="spellEnd"/>
      <w:r>
        <w:t xml:space="preserve"> must take into account fair assessment processes related to </w:t>
      </w:r>
      <w:r w:rsidRPr="004630DD">
        <w:t xml:space="preserve">educational </w:t>
      </w:r>
      <w:r>
        <w:t xml:space="preserve">and professional </w:t>
      </w:r>
      <w:r w:rsidRPr="004630DD">
        <w:t xml:space="preserve">goals of </w:t>
      </w:r>
      <w:r>
        <w:t>the educational</w:t>
      </w:r>
      <w:r w:rsidRPr="004630DD">
        <w:t xml:space="preserve"> program</w:t>
      </w:r>
      <w:r>
        <w:t xml:space="preserve"> (to prepare students for registration as entry-to-practice practitioners) and the characteristics of adult learners.</w:t>
      </w:r>
    </w:p>
    <w:p w:rsidR="00EA681E" w:rsidRPr="00B4728E" w:rsidRDefault="00EA681E" w:rsidP="00EA681E"/>
    <w:p w:rsidR="00EA681E" w:rsidRPr="00B4728E" w:rsidRDefault="00EA681E" w:rsidP="00EA681E">
      <w:r>
        <w:t>MTCU 17 Mediation of Placement Failure</w:t>
      </w:r>
      <w:r w:rsidRPr="00B4728E">
        <w:t xml:space="preserve"> Policy:</w:t>
      </w:r>
    </w:p>
    <w:p w:rsidR="00EA681E" w:rsidRPr="00B4728E" w:rsidRDefault="00EA681E" w:rsidP="00EA681E">
      <w:pPr>
        <w:widowControl/>
        <w:numPr>
          <w:ilvl w:val="0"/>
          <w:numId w:val="12"/>
        </w:numPr>
        <w:autoSpaceDE/>
        <w:autoSpaceDN/>
        <w:spacing w:line="259" w:lineRule="auto"/>
      </w:pPr>
      <w:r w:rsidRPr="00B4728E">
        <w:t>Observed</w:t>
      </w:r>
    </w:p>
    <w:p w:rsidR="00EA681E" w:rsidRDefault="00EA681E" w:rsidP="00EA681E">
      <w:pPr>
        <w:widowControl/>
        <w:numPr>
          <w:ilvl w:val="0"/>
          <w:numId w:val="12"/>
        </w:numPr>
        <w:autoSpaceDE/>
        <w:autoSpaceDN/>
        <w:spacing w:line="259" w:lineRule="auto"/>
      </w:pPr>
      <w:r w:rsidRPr="00B4728E">
        <w:t>Not observed</w:t>
      </w:r>
    </w:p>
    <w:p w:rsidR="00EA681E" w:rsidRPr="00B4728E" w:rsidRDefault="00EA681E" w:rsidP="00EA681E">
      <w:pPr>
        <w:ind w:left="720"/>
      </w:pPr>
    </w:p>
    <w:tbl>
      <w:tblPr>
        <w:tblStyle w:val="TableGrid"/>
        <w:tblW w:w="0" w:type="auto"/>
        <w:tblInd w:w="288" w:type="dxa"/>
        <w:tblLook w:val="04A0" w:firstRow="1" w:lastRow="0" w:firstColumn="1" w:lastColumn="0" w:noHBand="0" w:noVBand="1"/>
      </w:tblPr>
      <w:tblGrid>
        <w:gridCol w:w="1671"/>
        <w:gridCol w:w="1672"/>
        <w:gridCol w:w="1672"/>
        <w:gridCol w:w="1672"/>
        <w:gridCol w:w="1672"/>
      </w:tblGrid>
      <w:tr w:rsidR="00EA681E" w:rsidRPr="00B4728E" w:rsidTr="00EA681E">
        <w:tc>
          <w:tcPr>
            <w:tcW w:w="1671" w:type="dxa"/>
          </w:tcPr>
          <w:p w:rsidR="00EA681E" w:rsidRPr="00B4728E" w:rsidRDefault="00EA681E" w:rsidP="00467715">
            <w:pPr>
              <w:spacing w:line="259" w:lineRule="auto"/>
            </w:pPr>
            <w:r w:rsidRPr="00B4728E">
              <w:t>DOMAIN</w:t>
            </w:r>
          </w:p>
        </w:tc>
        <w:tc>
          <w:tcPr>
            <w:tcW w:w="1672" w:type="dxa"/>
          </w:tcPr>
          <w:p w:rsidR="00EA681E" w:rsidRPr="00B4728E" w:rsidRDefault="00EA681E" w:rsidP="00467715">
            <w:pPr>
              <w:spacing w:line="259" w:lineRule="auto"/>
            </w:pPr>
            <w:r w:rsidRPr="00B4728E">
              <w:t>3</w:t>
            </w:r>
          </w:p>
        </w:tc>
        <w:tc>
          <w:tcPr>
            <w:tcW w:w="1672" w:type="dxa"/>
          </w:tcPr>
          <w:p w:rsidR="00EA681E" w:rsidRPr="00B4728E" w:rsidRDefault="00EA681E" w:rsidP="00467715">
            <w:pPr>
              <w:spacing w:line="259" w:lineRule="auto"/>
            </w:pPr>
            <w:r w:rsidRPr="00B4728E">
              <w:t>2</w:t>
            </w:r>
          </w:p>
        </w:tc>
        <w:tc>
          <w:tcPr>
            <w:tcW w:w="1672" w:type="dxa"/>
          </w:tcPr>
          <w:p w:rsidR="00EA681E" w:rsidRPr="00B4728E" w:rsidRDefault="00EA681E" w:rsidP="00467715">
            <w:pPr>
              <w:spacing w:line="259" w:lineRule="auto"/>
            </w:pPr>
            <w:r w:rsidRPr="00B4728E">
              <w:t>1</w:t>
            </w:r>
          </w:p>
        </w:tc>
        <w:tc>
          <w:tcPr>
            <w:tcW w:w="1672" w:type="dxa"/>
          </w:tcPr>
          <w:p w:rsidR="00EA681E" w:rsidRPr="00B4728E" w:rsidRDefault="00EA681E" w:rsidP="00467715">
            <w:pPr>
              <w:spacing w:line="259" w:lineRule="auto"/>
            </w:pPr>
            <w:r w:rsidRPr="00B4728E">
              <w:t>0</w:t>
            </w:r>
          </w:p>
        </w:tc>
      </w:tr>
      <w:tr w:rsidR="00EA681E" w:rsidRPr="00B4728E" w:rsidTr="00EA681E">
        <w:tc>
          <w:tcPr>
            <w:tcW w:w="1671" w:type="dxa"/>
          </w:tcPr>
          <w:p w:rsidR="00EA681E" w:rsidRDefault="00EA681E" w:rsidP="00467715">
            <w:r>
              <w:t>Feedback and Extension of Practicum Experience Option</w:t>
            </w:r>
          </w:p>
        </w:tc>
        <w:tc>
          <w:tcPr>
            <w:tcW w:w="1672" w:type="dxa"/>
          </w:tcPr>
          <w:p w:rsidR="00EA681E" w:rsidRDefault="00EA681E" w:rsidP="00467715">
            <w:r>
              <w:t>Available</w:t>
            </w:r>
          </w:p>
        </w:tc>
        <w:tc>
          <w:tcPr>
            <w:tcW w:w="1672" w:type="dxa"/>
          </w:tcPr>
          <w:p w:rsidR="00EA681E" w:rsidRPr="00150028" w:rsidRDefault="00EA681E" w:rsidP="00467715">
            <w:r w:rsidRPr="00150028">
              <w:t>Criteria clear and publicized</w:t>
            </w:r>
          </w:p>
        </w:tc>
        <w:tc>
          <w:tcPr>
            <w:tcW w:w="1672" w:type="dxa"/>
          </w:tcPr>
          <w:p w:rsidR="00EA681E" w:rsidRDefault="00EA681E" w:rsidP="00467715">
            <w:r>
              <w:t>Criteria for option vague</w:t>
            </w:r>
          </w:p>
        </w:tc>
        <w:tc>
          <w:tcPr>
            <w:tcW w:w="1672" w:type="dxa"/>
          </w:tcPr>
          <w:p w:rsidR="00EA681E" w:rsidRDefault="00EA681E" w:rsidP="00467715">
            <w:r>
              <w:t>Not available</w:t>
            </w:r>
          </w:p>
        </w:tc>
      </w:tr>
      <w:tr w:rsidR="00EA681E" w:rsidRPr="00B4728E" w:rsidTr="00EA681E">
        <w:tc>
          <w:tcPr>
            <w:tcW w:w="1671" w:type="dxa"/>
          </w:tcPr>
          <w:p w:rsidR="00EA681E" w:rsidRPr="00B4728E" w:rsidRDefault="00EA681E" w:rsidP="00467715">
            <w:pPr>
              <w:spacing w:line="259" w:lineRule="auto"/>
            </w:pPr>
            <w:r>
              <w:t>Academic Probation Option</w:t>
            </w:r>
          </w:p>
        </w:tc>
        <w:tc>
          <w:tcPr>
            <w:tcW w:w="1672" w:type="dxa"/>
          </w:tcPr>
          <w:p w:rsidR="00EA681E" w:rsidRPr="00B4728E" w:rsidRDefault="00EA681E" w:rsidP="00467715">
            <w:pPr>
              <w:spacing w:line="259" w:lineRule="auto"/>
            </w:pPr>
            <w:r>
              <w:t>Available</w:t>
            </w:r>
          </w:p>
        </w:tc>
        <w:tc>
          <w:tcPr>
            <w:tcW w:w="1672" w:type="dxa"/>
          </w:tcPr>
          <w:p w:rsidR="00EA681E" w:rsidRPr="00B4728E" w:rsidRDefault="00EA681E" w:rsidP="00467715">
            <w:pPr>
              <w:spacing w:line="259" w:lineRule="auto"/>
            </w:pPr>
            <w:r w:rsidRPr="00150028">
              <w:t>Criteria clear and publicized</w:t>
            </w:r>
          </w:p>
        </w:tc>
        <w:tc>
          <w:tcPr>
            <w:tcW w:w="1672" w:type="dxa"/>
          </w:tcPr>
          <w:p w:rsidR="00EA681E" w:rsidRPr="00B4728E" w:rsidRDefault="00EA681E" w:rsidP="00467715">
            <w:pPr>
              <w:spacing w:line="259" w:lineRule="auto"/>
            </w:pPr>
            <w:r>
              <w:t>Criteria for option vague</w:t>
            </w:r>
          </w:p>
        </w:tc>
        <w:tc>
          <w:tcPr>
            <w:tcW w:w="1672" w:type="dxa"/>
          </w:tcPr>
          <w:p w:rsidR="00EA681E" w:rsidRPr="00B4728E" w:rsidRDefault="00EA681E" w:rsidP="00467715">
            <w:pPr>
              <w:spacing w:line="259" w:lineRule="auto"/>
            </w:pPr>
            <w:r>
              <w:t>Not available</w:t>
            </w:r>
          </w:p>
        </w:tc>
      </w:tr>
      <w:tr w:rsidR="00EA681E" w:rsidRPr="00B4728E" w:rsidTr="00EA681E">
        <w:tc>
          <w:tcPr>
            <w:tcW w:w="1671" w:type="dxa"/>
          </w:tcPr>
          <w:p w:rsidR="00EA681E" w:rsidRPr="00B4728E" w:rsidRDefault="00EA681E" w:rsidP="00467715">
            <w:pPr>
              <w:spacing w:line="259" w:lineRule="auto"/>
            </w:pPr>
            <w:r>
              <w:t>Voluntary Withdrawal / Deferral Option</w:t>
            </w:r>
          </w:p>
        </w:tc>
        <w:tc>
          <w:tcPr>
            <w:tcW w:w="1672" w:type="dxa"/>
          </w:tcPr>
          <w:p w:rsidR="00EA681E" w:rsidRPr="00B4728E" w:rsidRDefault="00EA681E" w:rsidP="00467715">
            <w:pPr>
              <w:spacing w:line="259" w:lineRule="auto"/>
            </w:pPr>
            <w:r>
              <w:t>Available</w:t>
            </w:r>
          </w:p>
        </w:tc>
        <w:tc>
          <w:tcPr>
            <w:tcW w:w="1672" w:type="dxa"/>
          </w:tcPr>
          <w:p w:rsidR="00EA681E" w:rsidRPr="00B4728E" w:rsidRDefault="00EA681E" w:rsidP="00467715">
            <w:pPr>
              <w:spacing w:line="259" w:lineRule="auto"/>
            </w:pPr>
            <w:r w:rsidRPr="00150028">
              <w:t>Criteria clear and publicized</w:t>
            </w:r>
          </w:p>
        </w:tc>
        <w:tc>
          <w:tcPr>
            <w:tcW w:w="1672" w:type="dxa"/>
          </w:tcPr>
          <w:p w:rsidR="00EA681E" w:rsidRPr="00B4728E" w:rsidRDefault="00EA681E" w:rsidP="00467715">
            <w:pPr>
              <w:spacing w:line="259" w:lineRule="auto"/>
            </w:pPr>
            <w:r>
              <w:t>Criteria for option vague</w:t>
            </w:r>
          </w:p>
        </w:tc>
        <w:tc>
          <w:tcPr>
            <w:tcW w:w="1672" w:type="dxa"/>
          </w:tcPr>
          <w:p w:rsidR="00EA681E" w:rsidRPr="00B4728E" w:rsidRDefault="00EA681E" w:rsidP="00467715">
            <w:pPr>
              <w:spacing w:line="259" w:lineRule="auto"/>
            </w:pPr>
            <w:r>
              <w:t>Not available</w:t>
            </w:r>
          </w:p>
        </w:tc>
      </w:tr>
      <w:tr w:rsidR="00EA681E" w:rsidRPr="00B4728E" w:rsidTr="00EA681E">
        <w:tc>
          <w:tcPr>
            <w:tcW w:w="1671" w:type="dxa"/>
          </w:tcPr>
          <w:p w:rsidR="00EA681E" w:rsidRPr="00B4728E" w:rsidRDefault="00EA681E" w:rsidP="00467715">
            <w:pPr>
              <w:spacing w:line="259" w:lineRule="auto"/>
            </w:pPr>
            <w:r>
              <w:t>Clinical Supervision Option</w:t>
            </w:r>
          </w:p>
        </w:tc>
        <w:tc>
          <w:tcPr>
            <w:tcW w:w="1672" w:type="dxa"/>
          </w:tcPr>
          <w:p w:rsidR="00EA681E" w:rsidRPr="00B4728E" w:rsidRDefault="00EA681E" w:rsidP="00467715">
            <w:pPr>
              <w:spacing w:line="259" w:lineRule="auto"/>
            </w:pPr>
            <w:r>
              <w:t>Available</w:t>
            </w:r>
          </w:p>
        </w:tc>
        <w:tc>
          <w:tcPr>
            <w:tcW w:w="1672" w:type="dxa"/>
          </w:tcPr>
          <w:p w:rsidR="00EA681E" w:rsidRPr="00B4728E" w:rsidRDefault="00EA681E" w:rsidP="00467715">
            <w:pPr>
              <w:spacing w:line="259" w:lineRule="auto"/>
            </w:pPr>
            <w:r w:rsidRPr="00150028">
              <w:t>Criteria clear and publicized</w:t>
            </w:r>
          </w:p>
        </w:tc>
        <w:tc>
          <w:tcPr>
            <w:tcW w:w="1672" w:type="dxa"/>
          </w:tcPr>
          <w:p w:rsidR="00EA681E" w:rsidRPr="00B4728E" w:rsidRDefault="00EA681E" w:rsidP="00467715">
            <w:pPr>
              <w:spacing w:line="259" w:lineRule="auto"/>
            </w:pPr>
            <w:r>
              <w:t>Criteria for option vague</w:t>
            </w:r>
          </w:p>
        </w:tc>
        <w:tc>
          <w:tcPr>
            <w:tcW w:w="1672" w:type="dxa"/>
          </w:tcPr>
          <w:p w:rsidR="00EA681E" w:rsidRPr="00B4728E" w:rsidRDefault="00EA681E" w:rsidP="00467715">
            <w:pPr>
              <w:spacing w:line="259" w:lineRule="auto"/>
            </w:pPr>
            <w:r>
              <w:t>Not available</w:t>
            </w:r>
          </w:p>
        </w:tc>
      </w:tr>
      <w:tr w:rsidR="00EA681E" w:rsidRPr="00B4728E" w:rsidTr="00EA681E">
        <w:tc>
          <w:tcPr>
            <w:tcW w:w="1671" w:type="dxa"/>
          </w:tcPr>
          <w:p w:rsidR="00EA681E" w:rsidRPr="00B4728E" w:rsidRDefault="00EA681E" w:rsidP="00467715">
            <w:pPr>
              <w:spacing w:line="259" w:lineRule="auto"/>
            </w:pPr>
            <w:r>
              <w:t xml:space="preserve">Interview Process </w:t>
            </w:r>
          </w:p>
        </w:tc>
        <w:tc>
          <w:tcPr>
            <w:tcW w:w="1672" w:type="dxa"/>
          </w:tcPr>
          <w:p w:rsidR="00EA681E" w:rsidRPr="00B4728E" w:rsidRDefault="00EA681E" w:rsidP="00467715">
            <w:pPr>
              <w:spacing w:line="259" w:lineRule="auto"/>
            </w:pPr>
            <w:r>
              <w:t>Available</w:t>
            </w:r>
          </w:p>
        </w:tc>
        <w:tc>
          <w:tcPr>
            <w:tcW w:w="1672" w:type="dxa"/>
          </w:tcPr>
          <w:p w:rsidR="00EA681E" w:rsidRPr="00B4728E" w:rsidRDefault="00EA681E" w:rsidP="00467715">
            <w:pPr>
              <w:spacing w:line="259" w:lineRule="auto"/>
            </w:pPr>
            <w:r w:rsidRPr="00150028">
              <w:t>Criteria clear and publicized</w:t>
            </w:r>
          </w:p>
        </w:tc>
        <w:tc>
          <w:tcPr>
            <w:tcW w:w="1672" w:type="dxa"/>
          </w:tcPr>
          <w:p w:rsidR="00EA681E" w:rsidRPr="00B4728E" w:rsidRDefault="00EA681E" w:rsidP="00467715">
            <w:pPr>
              <w:spacing w:line="259" w:lineRule="auto"/>
            </w:pPr>
            <w:r>
              <w:t>Criteria for option vague</w:t>
            </w:r>
          </w:p>
        </w:tc>
        <w:tc>
          <w:tcPr>
            <w:tcW w:w="1672" w:type="dxa"/>
          </w:tcPr>
          <w:p w:rsidR="00EA681E" w:rsidRPr="00B4728E" w:rsidRDefault="00EA681E" w:rsidP="00467715">
            <w:pPr>
              <w:spacing w:line="259" w:lineRule="auto"/>
            </w:pPr>
            <w:r>
              <w:t>Not available</w:t>
            </w:r>
          </w:p>
        </w:tc>
      </w:tr>
      <w:tr w:rsidR="00EA681E" w:rsidRPr="00B4728E" w:rsidTr="00EA681E">
        <w:tc>
          <w:tcPr>
            <w:tcW w:w="1671" w:type="dxa"/>
          </w:tcPr>
          <w:p w:rsidR="00EA681E" w:rsidRPr="00B4728E" w:rsidRDefault="00EA681E" w:rsidP="00467715">
            <w:pPr>
              <w:spacing w:line="259" w:lineRule="auto"/>
            </w:pPr>
            <w:r>
              <w:t>Appeal Process</w:t>
            </w:r>
          </w:p>
        </w:tc>
        <w:tc>
          <w:tcPr>
            <w:tcW w:w="1672" w:type="dxa"/>
          </w:tcPr>
          <w:p w:rsidR="00EA681E" w:rsidRPr="00B4728E" w:rsidRDefault="00EA681E" w:rsidP="00467715">
            <w:pPr>
              <w:spacing w:line="259" w:lineRule="auto"/>
            </w:pPr>
            <w:r>
              <w:t>Criteria for option specifically linked to competency grading</w:t>
            </w:r>
          </w:p>
        </w:tc>
        <w:tc>
          <w:tcPr>
            <w:tcW w:w="1672" w:type="dxa"/>
          </w:tcPr>
          <w:p w:rsidR="00EA681E" w:rsidRPr="00B4728E" w:rsidRDefault="00EA681E" w:rsidP="00467715">
            <w:pPr>
              <w:spacing w:line="259" w:lineRule="auto"/>
            </w:pPr>
            <w:r>
              <w:t>Criteria for option generalized or partially linked to competency grading</w:t>
            </w:r>
          </w:p>
        </w:tc>
        <w:tc>
          <w:tcPr>
            <w:tcW w:w="1672" w:type="dxa"/>
          </w:tcPr>
          <w:p w:rsidR="00EA681E" w:rsidRPr="00B4728E" w:rsidRDefault="00EA681E" w:rsidP="00467715">
            <w:pPr>
              <w:spacing w:line="259" w:lineRule="auto"/>
            </w:pPr>
            <w:r>
              <w:t>Criteria for option highly restrictive or not linked to competency grading</w:t>
            </w:r>
          </w:p>
        </w:tc>
        <w:tc>
          <w:tcPr>
            <w:tcW w:w="1672" w:type="dxa"/>
          </w:tcPr>
          <w:p w:rsidR="00EA681E" w:rsidRPr="00B4728E" w:rsidRDefault="00EA681E" w:rsidP="00467715">
            <w:pPr>
              <w:spacing w:line="259" w:lineRule="auto"/>
            </w:pPr>
            <w:r>
              <w:t>Not available</w:t>
            </w:r>
          </w:p>
        </w:tc>
      </w:tr>
    </w:tbl>
    <w:p w:rsidR="00EA681E" w:rsidRPr="00B4728E" w:rsidRDefault="00EA681E" w:rsidP="00EA681E"/>
    <w:p w:rsidR="00EA681E" w:rsidRDefault="00EA681E" w:rsidP="00EA681E"/>
    <w:p w:rsidR="007F5EAA" w:rsidRPr="00B81F5E" w:rsidRDefault="007F5EAA" w:rsidP="0054259C">
      <w:pPr>
        <w:ind w:left="0"/>
      </w:pPr>
    </w:p>
    <w:sectPr w:rsidR="007F5EAA" w:rsidRPr="00B81F5E" w:rsidSect="00EA681E">
      <w:headerReference w:type="default" r:id="rId9"/>
      <w:footerReference w:type="default" r:id="rId10"/>
      <w:headerReference w:type="first" r:id="rId11"/>
      <w:footerReference w:type="first" r:id="rId12"/>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20" w:rsidRDefault="00926320" w:rsidP="00E522B0">
      <w:r>
        <w:separator/>
      </w:r>
    </w:p>
  </w:endnote>
  <w:endnote w:type="continuationSeparator" w:id="0">
    <w:p w:rsidR="00926320" w:rsidRDefault="00926320" w:rsidP="00E5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41755"/>
      <w:docPartObj>
        <w:docPartGallery w:val="Page Numbers (Bottom of Page)"/>
        <w:docPartUnique/>
      </w:docPartObj>
    </w:sdtPr>
    <w:sdtEndPr>
      <w:rPr>
        <w:noProof/>
      </w:rPr>
    </w:sdtEndPr>
    <w:sdtContent>
      <w:p w:rsidR="002A4415" w:rsidRDefault="002A4415">
        <w:pPr>
          <w:pStyle w:val="Footer"/>
          <w:jc w:val="right"/>
        </w:pPr>
        <w:r>
          <w:fldChar w:fldCharType="begin"/>
        </w:r>
        <w:r>
          <w:instrText xml:space="preserve"> PAGE   \* MERGEFORMAT </w:instrText>
        </w:r>
        <w:r>
          <w:fldChar w:fldCharType="separate"/>
        </w:r>
        <w:r w:rsidR="003A5168">
          <w:rPr>
            <w:noProof/>
          </w:rPr>
          <w:t>2</w:t>
        </w:r>
        <w:r>
          <w:rPr>
            <w:noProof/>
          </w:rPr>
          <w:fldChar w:fldCharType="end"/>
        </w:r>
      </w:p>
    </w:sdtContent>
  </w:sdt>
  <w:p w:rsidR="002A4415" w:rsidRDefault="002A4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15" w:rsidRPr="002A4415" w:rsidRDefault="002A4415">
    <w:pPr>
      <w:pStyle w:val="Footer"/>
      <w:jc w:val="right"/>
      <w:rPr>
        <w:sz w:val="18"/>
      </w:rPr>
    </w:pPr>
  </w:p>
  <w:p w:rsidR="002A4415" w:rsidRDefault="002A4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20" w:rsidRDefault="00926320" w:rsidP="00E522B0">
      <w:r>
        <w:separator/>
      </w:r>
    </w:p>
  </w:footnote>
  <w:footnote w:type="continuationSeparator" w:id="0">
    <w:p w:rsidR="00926320" w:rsidRDefault="00926320" w:rsidP="00E5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B0" w:rsidRDefault="00E522B0" w:rsidP="00E522B0">
    <w:pPr>
      <w:pStyle w:val="Header"/>
      <w:ind w:left="-850"/>
    </w:pPr>
  </w:p>
  <w:p w:rsidR="00E522B0" w:rsidRPr="005602B3" w:rsidRDefault="00E522B0">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E" w:rsidRDefault="00EA681E" w:rsidP="00EA681E">
    <w:pPr>
      <w:pStyle w:val="Header"/>
      <w:ind w:left="-850"/>
    </w:pPr>
    <w:r>
      <w:rPr>
        <w:noProof/>
        <w:lang w:val="en-US"/>
      </w:rPr>
      <w:drawing>
        <wp:inline distT="0" distB="0" distL="0" distR="0" wp14:anchorId="110EBADF" wp14:editId="7D23AA91">
          <wp:extent cx="2164080" cy="65849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658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385"/>
    <w:multiLevelType w:val="hybridMultilevel"/>
    <w:tmpl w:val="CF84A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90FB9"/>
    <w:multiLevelType w:val="hybridMultilevel"/>
    <w:tmpl w:val="8898C788"/>
    <w:lvl w:ilvl="0" w:tplc="85F2048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EF1974"/>
    <w:multiLevelType w:val="hybridMultilevel"/>
    <w:tmpl w:val="5E78798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19C66F8F"/>
    <w:multiLevelType w:val="hybridMultilevel"/>
    <w:tmpl w:val="0002B6F2"/>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19DB2B2B"/>
    <w:multiLevelType w:val="hybridMultilevel"/>
    <w:tmpl w:val="9F980352"/>
    <w:lvl w:ilvl="0" w:tplc="0409000B">
      <w:start w:val="1"/>
      <w:numFmt w:val="bullet"/>
      <w:lvlText w:val=""/>
      <w:lvlJc w:val="left"/>
      <w:pPr>
        <w:ind w:left="864" w:hanging="360"/>
      </w:pPr>
      <w:rPr>
        <w:rFonts w:ascii="Wingdings" w:hAnsi="Wingding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1296494"/>
    <w:multiLevelType w:val="hybridMultilevel"/>
    <w:tmpl w:val="7ED40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CF3DF2"/>
    <w:multiLevelType w:val="hybridMultilevel"/>
    <w:tmpl w:val="59D826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4B164718"/>
    <w:multiLevelType w:val="hybridMultilevel"/>
    <w:tmpl w:val="5EB4BB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25E141E"/>
    <w:multiLevelType w:val="hybridMultilevel"/>
    <w:tmpl w:val="F36AE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4B5252"/>
    <w:multiLevelType w:val="hybridMultilevel"/>
    <w:tmpl w:val="76EC992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A44ABD"/>
    <w:multiLevelType w:val="hybridMultilevel"/>
    <w:tmpl w:val="DEFAB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556058"/>
    <w:multiLevelType w:val="hybridMultilevel"/>
    <w:tmpl w:val="9F7CC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8"/>
  </w:num>
  <w:num w:numId="6">
    <w:abstractNumId w:val="9"/>
  </w:num>
  <w:num w:numId="7">
    <w:abstractNumId w:val="7"/>
  </w:num>
  <w:num w:numId="8">
    <w:abstractNumId w:val="6"/>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35"/>
    <w:rsid w:val="00004396"/>
    <w:rsid w:val="000115E0"/>
    <w:rsid w:val="00053CE9"/>
    <w:rsid w:val="0007032B"/>
    <w:rsid w:val="00073075"/>
    <w:rsid w:val="000C7269"/>
    <w:rsid w:val="000E0374"/>
    <w:rsid w:val="001063A2"/>
    <w:rsid w:val="00255AFE"/>
    <w:rsid w:val="002A4415"/>
    <w:rsid w:val="002F1D36"/>
    <w:rsid w:val="002F5222"/>
    <w:rsid w:val="00386A00"/>
    <w:rsid w:val="00391577"/>
    <w:rsid w:val="003A5168"/>
    <w:rsid w:val="003F58CA"/>
    <w:rsid w:val="0050738D"/>
    <w:rsid w:val="0054259C"/>
    <w:rsid w:val="005602B3"/>
    <w:rsid w:val="005C51FC"/>
    <w:rsid w:val="005F3680"/>
    <w:rsid w:val="00617F37"/>
    <w:rsid w:val="006329CB"/>
    <w:rsid w:val="006527AA"/>
    <w:rsid w:val="00680E56"/>
    <w:rsid w:val="00742FD7"/>
    <w:rsid w:val="007666E3"/>
    <w:rsid w:val="00782E1B"/>
    <w:rsid w:val="007F5EAA"/>
    <w:rsid w:val="008111DA"/>
    <w:rsid w:val="00894A95"/>
    <w:rsid w:val="008A1A1C"/>
    <w:rsid w:val="008B3B45"/>
    <w:rsid w:val="008E74C0"/>
    <w:rsid w:val="00926320"/>
    <w:rsid w:val="00957E0B"/>
    <w:rsid w:val="00A25B5A"/>
    <w:rsid w:val="00B64761"/>
    <w:rsid w:val="00B81F5E"/>
    <w:rsid w:val="00BE3DFB"/>
    <w:rsid w:val="00C174E0"/>
    <w:rsid w:val="00C34B35"/>
    <w:rsid w:val="00C57E5E"/>
    <w:rsid w:val="00C60DED"/>
    <w:rsid w:val="00DD6480"/>
    <w:rsid w:val="00DE5244"/>
    <w:rsid w:val="00DF161E"/>
    <w:rsid w:val="00E522B0"/>
    <w:rsid w:val="00E6285F"/>
    <w:rsid w:val="00EA681E"/>
    <w:rsid w:val="00F0431E"/>
    <w:rsid w:val="00F24F77"/>
    <w:rsid w:val="00F375B8"/>
    <w:rsid w:val="00F727DF"/>
    <w:rsid w:val="00F72D24"/>
    <w:rsid w:val="00FA5689"/>
    <w:rsid w:val="00FE6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1DA"/>
    <w:pPr>
      <w:ind w:left="144"/>
    </w:pPr>
    <w:rPr>
      <w:rFonts w:ascii="Arial" w:eastAsia="Arial" w:hAnsi="Arial" w:cs="Arial"/>
      <w:sz w:val="20"/>
    </w:rPr>
  </w:style>
  <w:style w:type="paragraph" w:styleId="Heading1">
    <w:name w:val="heading 1"/>
    <w:basedOn w:val="Normal"/>
    <w:next w:val="Normal"/>
    <w:link w:val="Heading1Char"/>
    <w:autoRedefine/>
    <w:uiPriority w:val="9"/>
    <w:qFormat/>
    <w:rsid w:val="00B81F5E"/>
    <w:pPr>
      <w:keepNext/>
      <w:keepLines/>
      <w:spacing w:before="280"/>
      <w:ind w:right="666"/>
      <w:jc w:val="center"/>
      <w:outlineLvl w:val="0"/>
    </w:pPr>
    <w:rPr>
      <w:rFonts w:eastAsiaTheme="majorEastAsia" w:cstheme="majorBidi"/>
      <w:b/>
      <w:bCs/>
      <w:color w:val="00548B"/>
      <w:sz w:val="28"/>
      <w:szCs w:val="28"/>
    </w:rPr>
  </w:style>
  <w:style w:type="paragraph" w:styleId="Heading2">
    <w:name w:val="heading 2"/>
    <w:basedOn w:val="Normal"/>
    <w:next w:val="Normal"/>
    <w:link w:val="Heading2Char"/>
    <w:uiPriority w:val="9"/>
    <w:unhideWhenUsed/>
    <w:qFormat/>
    <w:rsid w:val="00B81F5E"/>
    <w:pPr>
      <w:keepNext/>
      <w:keepLines/>
      <w:outlineLvl w:val="1"/>
    </w:pPr>
    <w:rPr>
      <w:rFonts w:eastAsiaTheme="majorEastAsia" w:cstheme="majorBidi"/>
      <w:b/>
      <w:bCs/>
      <w:color w:val="00548B"/>
      <w:sz w:val="24"/>
      <w:szCs w:val="26"/>
    </w:rPr>
  </w:style>
  <w:style w:type="paragraph" w:styleId="Heading3">
    <w:name w:val="heading 3"/>
    <w:basedOn w:val="Normal"/>
    <w:next w:val="Normal"/>
    <w:link w:val="Heading3Char"/>
    <w:autoRedefine/>
    <w:uiPriority w:val="9"/>
    <w:unhideWhenUsed/>
    <w:qFormat/>
    <w:rsid w:val="00B81F5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5E"/>
  </w:style>
  <w:style w:type="paragraph" w:styleId="NormalWeb">
    <w:name w:val="Normal (Web)"/>
    <w:basedOn w:val="Normal"/>
    <w:uiPriority w:val="99"/>
    <w:semiHidden/>
    <w:unhideWhenUsed/>
    <w:rsid w:val="000115E0"/>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115E0"/>
    <w:rPr>
      <w:i/>
      <w:iCs/>
    </w:rPr>
  </w:style>
  <w:style w:type="paragraph" w:styleId="BalloonText">
    <w:name w:val="Balloon Text"/>
    <w:basedOn w:val="Normal"/>
    <w:link w:val="BalloonTextChar"/>
    <w:uiPriority w:val="99"/>
    <w:semiHidden/>
    <w:unhideWhenUsed/>
    <w:rsid w:val="000115E0"/>
    <w:rPr>
      <w:rFonts w:ascii="Tahoma" w:hAnsi="Tahoma" w:cs="Tahoma"/>
      <w:sz w:val="16"/>
      <w:szCs w:val="16"/>
    </w:rPr>
  </w:style>
  <w:style w:type="character" w:customStyle="1" w:styleId="BalloonTextChar">
    <w:name w:val="Balloon Text Char"/>
    <w:basedOn w:val="DefaultParagraphFont"/>
    <w:link w:val="BalloonText"/>
    <w:uiPriority w:val="99"/>
    <w:semiHidden/>
    <w:rsid w:val="000115E0"/>
    <w:rPr>
      <w:rFonts w:ascii="Tahoma" w:hAnsi="Tahoma" w:cs="Tahoma"/>
      <w:sz w:val="16"/>
      <w:szCs w:val="16"/>
    </w:rPr>
  </w:style>
  <w:style w:type="paragraph" w:styleId="Header">
    <w:name w:val="header"/>
    <w:basedOn w:val="Normal"/>
    <w:link w:val="HeaderChar"/>
    <w:uiPriority w:val="99"/>
    <w:unhideWhenUsed/>
    <w:rsid w:val="00E522B0"/>
    <w:pPr>
      <w:tabs>
        <w:tab w:val="center" w:pos="4680"/>
        <w:tab w:val="right" w:pos="9360"/>
      </w:tabs>
    </w:pPr>
  </w:style>
  <w:style w:type="character" w:customStyle="1" w:styleId="HeaderChar">
    <w:name w:val="Header Char"/>
    <w:basedOn w:val="DefaultParagraphFont"/>
    <w:link w:val="Header"/>
    <w:uiPriority w:val="99"/>
    <w:rsid w:val="00E522B0"/>
  </w:style>
  <w:style w:type="paragraph" w:styleId="Footer">
    <w:name w:val="footer"/>
    <w:basedOn w:val="Normal"/>
    <w:link w:val="FooterChar"/>
    <w:uiPriority w:val="99"/>
    <w:unhideWhenUsed/>
    <w:rsid w:val="00E522B0"/>
    <w:pPr>
      <w:tabs>
        <w:tab w:val="center" w:pos="4680"/>
        <w:tab w:val="right" w:pos="9360"/>
      </w:tabs>
    </w:pPr>
  </w:style>
  <w:style w:type="character" w:customStyle="1" w:styleId="FooterChar">
    <w:name w:val="Footer Char"/>
    <w:basedOn w:val="DefaultParagraphFont"/>
    <w:link w:val="Footer"/>
    <w:uiPriority w:val="99"/>
    <w:rsid w:val="00E522B0"/>
  </w:style>
  <w:style w:type="paragraph" w:customStyle="1" w:styleId="TableParagraph">
    <w:name w:val="Table Paragraph"/>
    <w:basedOn w:val="Normal"/>
    <w:uiPriority w:val="1"/>
    <w:qFormat/>
    <w:rsid w:val="00B81F5E"/>
  </w:style>
  <w:style w:type="character" w:customStyle="1" w:styleId="Heading1Char">
    <w:name w:val="Heading 1 Char"/>
    <w:basedOn w:val="DefaultParagraphFont"/>
    <w:link w:val="Heading1"/>
    <w:uiPriority w:val="9"/>
    <w:rsid w:val="00B81F5E"/>
    <w:rPr>
      <w:rFonts w:ascii="Arial" w:eastAsiaTheme="majorEastAsia" w:hAnsi="Arial" w:cstheme="majorBidi"/>
      <w:b/>
      <w:bCs/>
      <w:color w:val="00548B"/>
      <w:sz w:val="28"/>
      <w:szCs w:val="28"/>
    </w:rPr>
  </w:style>
  <w:style w:type="character" w:customStyle="1" w:styleId="Heading2Char">
    <w:name w:val="Heading 2 Char"/>
    <w:basedOn w:val="DefaultParagraphFont"/>
    <w:link w:val="Heading2"/>
    <w:uiPriority w:val="9"/>
    <w:rsid w:val="00B81F5E"/>
    <w:rPr>
      <w:rFonts w:ascii="Arial" w:eastAsiaTheme="majorEastAsia" w:hAnsi="Arial" w:cstheme="majorBidi"/>
      <w:b/>
      <w:bCs/>
      <w:color w:val="00548B"/>
      <w:sz w:val="24"/>
      <w:szCs w:val="26"/>
    </w:rPr>
  </w:style>
  <w:style w:type="character" w:customStyle="1" w:styleId="Heading3Char">
    <w:name w:val="Heading 3 Char"/>
    <w:basedOn w:val="DefaultParagraphFont"/>
    <w:link w:val="Heading3"/>
    <w:uiPriority w:val="9"/>
    <w:rsid w:val="00B81F5E"/>
    <w:rPr>
      <w:rFonts w:ascii="Arial" w:eastAsiaTheme="majorEastAsia" w:hAnsi="Arial" w:cstheme="majorBidi"/>
      <w:b/>
      <w:bCs/>
      <w:sz w:val="20"/>
    </w:rPr>
  </w:style>
  <w:style w:type="paragraph" w:styleId="BodyText">
    <w:name w:val="Body Text"/>
    <w:basedOn w:val="Normal"/>
    <w:link w:val="BodyTextChar"/>
    <w:uiPriority w:val="1"/>
    <w:qFormat/>
    <w:rsid w:val="00B81F5E"/>
    <w:rPr>
      <w:sz w:val="22"/>
    </w:rPr>
  </w:style>
  <w:style w:type="character" w:customStyle="1" w:styleId="BodyTextChar">
    <w:name w:val="Body Text Char"/>
    <w:basedOn w:val="DefaultParagraphFont"/>
    <w:link w:val="BodyText"/>
    <w:uiPriority w:val="1"/>
    <w:rsid w:val="00B81F5E"/>
    <w:rPr>
      <w:rFonts w:ascii="Arial" w:eastAsia="Arial" w:hAnsi="Arial" w:cs="Arial"/>
    </w:rPr>
  </w:style>
  <w:style w:type="character" w:styleId="Hyperlink">
    <w:name w:val="Hyperlink"/>
    <w:basedOn w:val="DefaultParagraphFont"/>
    <w:uiPriority w:val="99"/>
    <w:unhideWhenUsed/>
    <w:rsid w:val="000E0374"/>
    <w:rPr>
      <w:color w:val="0000FF" w:themeColor="hyperlink"/>
      <w:u w:val="single"/>
    </w:rPr>
  </w:style>
  <w:style w:type="character" w:styleId="CommentReference">
    <w:name w:val="annotation reference"/>
    <w:basedOn w:val="DefaultParagraphFont"/>
    <w:uiPriority w:val="99"/>
    <w:semiHidden/>
    <w:unhideWhenUsed/>
    <w:rsid w:val="001063A2"/>
    <w:rPr>
      <w:sz w:val="16"/>
      <w:szCs w:val="16"/>
    </w:rPr>
  </w:style>
  <w:style w:type="paragraph" w:styleId="CommentText">
    <w:name w:val="annotation text"/>
    <w:basedOn w:val="Normal"/>
    <w:link w:val="CommentTextChar"/>
    <w:uiPriority w:val="99"/>
    <w:semiHidden/>
    <w:unhideWhenUsed/>
    <w:rsid w:val="001063A2"/>
    <w:rPr>
      <w:szCs w:val="20"/>
    </w:rPr>
  </w:style>
  <w:style w:type="character" w:customStyle="1" w:styleId="CommentTextChar">
    <w:name w:val="Comment Text Char"/>
    <w:basedOn w:val="DefaultParagraphFont"/>
    <w:link w:val="CommentText"/>
    <w:uiPriority w:val="99"/>
    <w:semiHidden/>
    <w:rsid w:val="001063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3A2"/>
    <w:rPr>
      <w:b/>
      <w:bCs/>
    </w:rPr>
  </w:style>
  <w:style w:type="character" w:customStyle="1" w:styleId="CommentSubjectChar">
    <w:name w:val="Comment Subject Char"/>
    <w:basedOn w:val="CommentTextChar"/>
    <w:link w:val="CommentSubject"/>
    <w:uiPriority w:val="99"/>
    <w:semiHidden/>
    <w:rsid w:val="001063A2"/>
    <w:rPr>
      <w:rFonts w:ascii="Arial" w:eastAsia="Arial" w:hAnsi="Arial" w:cs="Arial"/>
      <w:b/>
      <w:bCs/>
      <w:sz w:val="20"/>
      <w:szCs w:val="20"/>
    </w:rPr>
  </w:style>
  <w:style w:type="character" w:styleId="FollowedHyperlink">
    <w:name w:val="FollowedHyperlink"/>
    <w:basedOn w:val="DefaultParagraphFont"/>
    <w:uiPriority w:val="99"/>
    <w:semiHidden/>
    <w:unhideWhenUsed/>
    <w:rsid w:val="00F375B8"/>
    <w:rPr>
      <w:color w:val="800080" w:themeColor="followedHyperlink"/>
      <w:u w:val="single"/>
    </w:rPr>
  </w:style>
  <w:style w:type="table" w:styleId="TableGrid">
    <w:name w:val="Table Grid"/>
    <w:basedOn w:val="TableNormal"/>
    <w:uiPriority w:val="39"/>
    <w:rsid w:val="00EA681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1DA"/>
    <w:pPr>
      <w:ind w:left="144"/>
    </w:pPr>
    <w:rPr>
      <w:rFonts w:ascii="Arial" w:eastAsia="Arial" w:hAnsi="Arial" w:cs="Arial"/>
      <w:sz w:val="20"/>
    </w:rPr>
  </w:style>
  <w:style w:type="paragraph" w:styleId="Heading1">
    <w:name w:val="heading 1"/>
    <w:basedOn w:val="Normal"/>
    <w:next w:val="Normal"/>
    <w:link w:val="Heading1Char"/>
    <w:autoRedefine/>
    <w:uiPriority w:val="9"/>
    <w:qFormat/>
    <w:rsid w:val="00B81F5E"/>
    <w:pPr>
      <w:keepNext/>
      <w:keepLines/>
      <w:spacing w:before="280"/>
      <w:ind w:right="666"/>
      <w:jc w:val="center"/>
      <w:outlineLvl w:val="0"/>
    </w:pPr>
    <w:rPr>
      <w:rFonts w:eastAsiaTheme="majorEastAsia" w:cstheme="majorBidi"/>
      <w:b/>
      <w:bCs/>
      <w:color w:val="00548B"/>
      <w:sz w:val="28"/>
      <w:szCs w:val="28"/>
    </w:rPr>
  </w:style>
  <w:style w:type="paragraph" w:styleId="Heading2">
    <w:name w:val="heading 2"/>
    <w:basedOn w:val="Normal"/>
    <w:next w:val="Normal"/>
    <w:link w:val="Heading2Char"/>
    <w:uiPriority w:val="9"/>
    <w:unhideWhenUsed/>
    <w:qFormat/>
    <w:rsid w:val="00B81F5E"/>
    <w:pPr>
      <w:keepNext/>
      <w:keepLines/>
      <w:outlineLvl w:val="1"/>
    </w:pPr>
    <w:rPr>
      <w:rFonts w:eastAsiaTheme="majorEastAsia" w:cstheme="majorBidi"/>
      <w:b/>
      <w:bCs/>
      <w:color w:val="00548B"/>
      <w:sz w:val="24"/>
      <w:szCs w:val="26"/>
    </w:rPr>
  </w:style>
  <w:style w:type="paragraph" w:styleId="Heading3">
    <w:name w:val="heading 3"/>
    <w:basedOn w:val="Normal"/>
    <w:next w:val="Normal"/>
    <w:link w:val="Heading3Char"/>
    <w:autoRedefine/>
    <w:uiPriority w:val="9"/>
    <w:unhideWhenUsed/>
    <w:qFormat/>
    <w:rsid w:val="00B81F5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F5E"/>
  </w:style>
  <w:style w:type="paragraph" w:styleId="NormalWeb">
    <w:name w:val="Normal (Web)"/>
    <w:basedOn w:val="Normal"/>
    <w:uiPriority w:val="99"/>
    <w:semiHidden/>
    <w:unhideWhenUsed/>
    <w:rsid w:val="000115E0"/>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115E0"/>
    <w:rPr>
      <w:i/>
      <w:iCs/>
    </w:rPr>
  </w:style>
  <w:style w:type="paragraph" w:styleId="BalloonText">
    <w:name w:val="Balloon Text"/>
    <w:basedOn w:val="Normal"/>
    <w:link w:val="BalloonTextChar"/>
    <w:uiPriority w:val="99"/>
    <w:semiHidden/>
    <w:unhideWhenUsed/>
    <w:rsid w:val="000115E0"/>
    <w:rPr>
      <w:rFonts w:ascii="Tahoma" w:hAnsi="Tahoma" w:cs="Tahoma"/>
      <w:sz w:val="16"/>
      <w:szCs w:val="16"/>
    </w:rPr>
  </w:style>
  <w:style w:type="character" w:customStyle="1" w:styleId="BalloonTextChar">
    <w:name w:val="Balloon Text Char"/>
    <w:basedOn w:val="DefaultParagraphFont"/>
    <w:link w:val="BalloonText"/>
    <w:uiPriority w:val="99"/>
    <w:semiHidden/>
    <w:rsid w:val="000115E0"/>
    <w:rPr>
      <w:rFonts w:ascii="Tahoma" w:hAnsi="Tahoma" w:cs="Tahoma"/>
      <w:sz w:val="16"/>
      <w:szCs w:val="16"/>
    </w:rPr>
  </w:style>
  <w:style w:type="paragraph" w:styleId="Header">
    <w:name w:val="header"/>
    <w:basedOn w:val="Normal"/>
    <w:link w:val="HeaderChar"/>
    <w:uiPriority w:val="99"/>
    <w:unhideWhenUsed/>
    <w:rsid w:val="00E522B0"/>
    <w:pPr>
      <w:tabs>
        <w:tab w:val="center" w:pos="4680"/>
        <w:tab w:val="right" w:pos="9360"/>
      </w:tabs>
    </w:pPr>
  </w:style>
  <w:style w:type="character" w:customStyle="1" w:styleId="HeaderChar">
    <w:name w:val="Header Char"/>
    <w:basedOn w:val="DefaultParagraphFont"/>
    <w:link w:val="Header"/>
    <w:uiPriority w:val="99"/>
    <w:rsid w:val="00E522B0"/>
  </w:style>
  <w:style w:type="paragraph" w:styleId="Footer">
    <w:name w:val="footer"/>
    <w:basedOn w:val="Normal"/>
    <w:link w:val="FooterChar"/>
    <w:uiPriority w:val="99"/>
    <w:unhideWhenUsed/>
    <w:rsid w:val="00E522B0"/>
    <w:pPr>
      <w:tabs>
        <w:tab w:val="center" w:pos="4680"/>
        <w:tab w:val="right" w:pos="9360"/>
      </w:tabs>
    </w:pPr>
  </w:style>
  <w:style w:type="character" w:customStyle="1" w:styleId="FooterChar">
    <w:name w:val="Footer Char"/>
    <w:basedOn w:val="DefaultParagraphFont"/>
    <w:link w:val="Footer"/>
    <w:uiPriority w:val="99"/>
    <w:rsid w:val="00E522B0"/>
  </w:style>
  <w:style w:type="paragraph" w:customStyle="1" w:styleId="TableParagraph">
    <w:name w:val="Table Paragraph"/>
    <w:basedOn w:val="Normal"/>
    <w:uiPriority w:val="1"/>
    <w:qFormat/>
    <w:rsid w:val="00B81F5E"/>
  </w:style>
  <w:style w:type="character" w:customStyle="1" w:styleId="Heading1Char">
    <w:name w:val="Heading 1 Char"/>
    <w:basedOn w:val="DefaultParagraphFont"/>
    <w:link w:val="Heading1"/>
    <w:uiPriority w:val="9"/>
    <w:rsid w:val="00B81F5E"/>
    <w:rPr>
      <w:rFonts w:ascii="Arial" w:eastAsiaTheme="majorEastAsia" w:hAnsi="Arial" w:cstheme="majorBidi"/>
      <w:b/>
      <w:bCs/>
      <w:color w:val="00548B"/>
      <w:sz w:val="28"/>
      <w:szCs w:val="28"/>
    </w:rPr>
  </w:style>
  <w:style w:type="character" w:customStyle="1" w:styleId="Heading2Char">
    <w:name w:val="Heading 2 Char"/>
    <w:basedOn w:val="DefaultParagraphFont"/>
    <w:link w:val="Heading2"/>
    <w:uiPriority w:val="9"/>
    <w:rsid w:val="00B81F5E"/>
    <w:rPr>
      <w:rFonts w:ascii="Arial" w:eastAsiaTheme="majorEastAsia" w:hAnsi="Arial" w:cstheme="majorBidi"/>
      <w:b/>
      <w:bCs/>
      <w:color w:val="00548B"/>
      <w:sz w:val="24"/>
      <w:szCs w:val="26"/>
    </w:rPr>
  </w:style>
  <w:style w:type="character" w:customStyle="1" w:styleId="Heading3Char">
    <w:name w:val="Heading 3 Char"/>
    <w:basedOn w:val="DefaultParagraphFont"/>
    <w:link w:val="Heading3"/>
    <w:uiPriority w:val="9"/>
    <w:rsid w:val="00B81F5E"/>
    <w:rPr>
      <w:rFonts w:ascii="Arial" w:eastAsiaTheme="majorEastAsia" w:hAnsi="Arial" w:cstheme="majorBidi"/>
      <w:b/>
      <w:bCs/>
      <w:sz w:val="20"/>
    </w:rPr>
  </w:style>
  <w:style w:type="paragraph" w:styleId="BodyText">
    <w:name w:val="Body Text"/>
    <w:basedOn w:val="Normal"/>
    <w:link w:val="BodyTextChar"/>
    <w:uiPriority w:val="1"/>
    <w:qFormat/>
    <w:rsid w:val="00B81F5E"/>
    <w:rPr>
      <w:sz w:val="22"/>
    </w:rPr>
  </w:style>
  <w:style w:type="character" w:customStyle="1" w:styleId="BodyTextChar">
    <w:name w:val="Body Text Char"/>
    <w:basedOn w:val="DefaultParagraphFont"/>
    <w:link w:val="BodyText"/>
    <w:uiPriority w:val="1"/>
    <w:rsid w:val="00B81F5E"/>
    <w:rPr>
      <w:rFonts w:ascii="Arial" w:eastAsia="Arial" w:hAnsi="Arial" w:cs="Arial"/>
    </w:rPr>
  </w:style>
  <w:style w:type="character" w:styleId="Hyperlink">
    <w:name w:val="Hyperlink"/>
    <w:basedOn w:val="DefaultParagraphFont"/>
    <w:uiPriority w:val="99"/>
    <w:unhideWhenUsed/>
    <w:rsid w:val="000E0374"/>
    <w:rPr>
      <w:color w:val="0000FF" w:themeColor="hyperlink"/>
      <w:u w:val="single"/>
    </w:rPr>
  </w:style>
  <w:style w:type="character" w:styleId="CommentReference">
    <w:name w:val="annotation reference"/>
    <w:basedOn w:val="DefaultParagraphFont"/>
    <w:uiPriority w:val="99"/>
    <w:semiHidden/>
    <w:unhideWhenUsed/>
    <w:rsid w:val="001063A2"/>
    <w:rPr>
      <w:sz w:val="16"/>
      <w:szCs w:val="16"/>
    </w:rPr>
  </w:style>
  <w:style w:type="paragraph" w:styleId="CommentText">
    <w:name w:val="annotation text"/>
    <w:basedOn w:val="Normal"/>
    <w:link w:val="CommentTextChar"/>
    <w:uiPriority w:val="99"/>
    <w:semiHidden/>
    <w:unhideWhenUsed/>
    <w:rsid w:val="001063A2"/>
    <w:rPr>
      <w:szCs w:val="20"/>
    </w:rPr>
  </w:style>
  <w:style w:type="character" w:customStyle="1" w:styleId="CommentTextChar">
    <w:name w:val="Comment Text Char"/>
    <w:basedOn w:val="DefaultParagraphFont"/>
    <w:link w:val="CommentText"/>
    <w:uiPriority w:val="99"/>
    <w:semiHidden/>
    <w:rsid w:val="001063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3A2"/>
    <w:rPr>
      <w:b/>
      <w:bCs/>
    </w:rPr>
  </w:style>
  <w:style w:type="character" w:customStyle="1" w:styleId="CommentSubjectChar">
    <w:name w:val="Comment Subject Char"/>
    <w:basedOn w:val="CommentTextChar"/>
    <w:link w:val="CommentSubject"/>
    <w:uiPriority w:val="99"/>
    <w:semiHidden/>
    <w:rsid w:val="001063A2"/>
    <w:rPr>
      <w:rFonts w:ascii="Arial" w:eastAsia="Arial" w:hAnsi="Arial" w:cs="Arial"/>
      <w:b/>
      <w:bCs/>
      <w:sz w:val="20"/>
      <w:szCs w:val="20"/>
    </w:rPr>
  </w:style>
  <w:style w:type="character" w:styleId="FollowedHyperlink">
    <w:name w:val="FollowedHyperlink"/>
    <w:basedOn w:val="DefaultParagraphFont"/>
    <w:uiPriority w:val="99"/>
    <w:semiHidden/>
    <w:unhideWhenUsed/>
    <w:rsid w:val="00F375B8"/>
    <w:rPr>
      <w:color w:val="800080" w:themeColor="followedHyperlink"/>
      <w:u w:val="single"/>
    </w:rPr>
  </w:style>
  <w:style w:type="table" w:styleId="TableGrid">
    <w:name w:val="Table Grid"/>
    <w:basedOn w:val="TableNormal"/>
    <w:uiPriority w:val="39"/>
    <w:rsid w:val="00EA681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3684">
      <w:bodyDiv w:val="1"/>
      <w:marLeft w:val="0"/>
      <w:marRight w:val="0"/>
      <w:marTop w:val="0"/>
      <w:marBottom w:val="0"/>
      <w:divBdr>
        <w:top w:val="none" w:sz="0" w:space="0" w:color="auto"/>
        <w:left w:val="none" w:sz="0" w:space="0" w:color="auto"/>
        <w:bottom w:val="none" w:sz="0" w:space="0" w:color="auto"/>
        <w:right w:val="none" w:sz="0" w:space="0" w:color="auto"/>
      </w:divBdr>
    </w:div>
    <w:div w:id="310136793">
      <w:bodyDiv w:val="1"/>
      <w:marLeft w:val="0"/>
      <w:marRight w:val="0"/>
      <w:marTop w:val="0"/>
      <w:marBottom w:val="0"/>
      <w:divBdr>
        <w:top w:val="none" w:sz="0" w:space="0" w:color="auto"/>
        <w:left w:val="none" w:sz="0" w:space="0" w:color="auto"/>
        <w:bottom w:val="none" w:sz="0" w:space="0" w:color="auto"/>
        <w:right w:val="none" w:sz="0" w:space="0" w:color="auto"/>
      </w:divBdr>
    </w:div>
    <w:div w:id="792675402">
      <w:bodyDiv w:val="1"/>
      <w:marLeft w:val="0"/>
      <w:marRight w:val="0"/>
      <w:marTop w:val="0"/>
      <w:marBottom w:val="0"/>
      <w:divBdr>
        <w:top w:val="none" w:sz="0" w:space="0" w:color="auto"/>
        <w:left w:val="none" w:sz="0" w:space="0" w:color="auto"/>
        <w:bottom w:val="none" w:sz="0" w:space="0" w:color="auto"/>
        <w:right w:val="none" w:sz="0" w:space="0" w:color="auto"/>
      </w:divBdr>
    </w:div>
    <w:div w:id="1063455062">
      <w:bodyDiv w:val="1"/>
      <w:marLeft w:val="0"/>
      <w:marRight w:val="0"/>
      <w:marTop w:val="0"/>
      <w:marBottom w:val="0"/>
      <w:divBdr>
        <w:top w:val="none" w:sz="0" w:space="0" w:color="auto"/>
        <w:left w:val="none" w:sz="0" w:space="0" w:color="auto"/>
        <w:bottom w:val="none" w:sz="0" w:space="0" w:color="auto"/>
        <w:right w:val="none" w:sz="0" w:space="0" w:color="auto"/>
      </w:divBdr>
    </w:div>
    <w:div w:id="1524594642">
      <w:bodyDiv w:val="1"/>
      <w:marLeft w:val="0"/>
      <w:marRight w:val="0"/>
      <w:marTop w:val="0"/>
      <w:marBottom w:val="0"/>
      <w:divBdr>
        <w:top w:val="none" w:sz="0" w:space="0" w:color="auto"/>
        <w:left w:val="none" w:sz="0" w:space="0" w:color="auto"/>
        <w:bottom w:val="none" w:sz="0" w:space="0" w:color="auto"/>
        <w:right w:val="none" w:sz="0" w:space="0" w:color="auto"/>
      </w:divBdr>
    </w:div>
    <w:div w:id="20811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pepg/audiences/pcc/superintendent/factsheet3_3rdpty-prog_assessment_092016.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CRPO</dc:creator>
  <cp:lastModifiedBy>Sabina Hikel</cp:lastModifiedBy>
  <cp:revision>2</cp:revision>
  <dcterms:created xsi:type="dcterms:W3CDTF">2018-10-18T17:29:00Z</dcterms:created>
  <dcterms:modified xsi:type="dcterms:W3CDTF">2018-10-18T17:29:00Z</dcterms:modified>
</cp:coreProperties>
</file>